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4CB93D">
      <w:pPr>
        <w:rPr>
          <w:rFonts w:hint="eastAsia" w:ascii="宋体" w:hAnsi="宋体" w:cs="宋体"/>
        </w:rPr>
      </w:pPr>
    </w:p>
    <w:p w14:paraId="55D097E6">
      <w:pPr>
        <w:pStyle w:val="105"/>
        <w:spacing w:before="0" w:after="0"/>
        <w:ind w:firstLine="0"/>
        <w:jc w:val="center"/>
        <w:rPr>
          <w:rFonts w:hint="eastAsia" w:ascii="宋体" w:hAnsi="宋体" w:cs="宋体"/>
          <w:b/>
          <w:sz w:val="40"/>
          <w:szCs w:val="40"/>
          <w:lang w:eastAsia="zh-CN"/>
        </w:rPr>
      </w:pPr>
    </w:p>
    <w:p w14:paraId="7ED519FF">
      <w:pPr>
        <w:pStyle w:val="105"/>
        <w:spacing w:before="0" w:after="0"/>
        <w:ind w:firstLine="0"/>
        <w:jc w:val="center"/>
        <w:rPr>
          <w:rFonts w:hint="eastAsia" w:ascii="宋体" w:hAnsi="宋体" w:eastAsia="宋体" w:cs="宋体"/>
          <w:b/>
          <w:sz w:val="52"/>
          <w:szCs w:val="52"/>
          <w:lang w:eastAsia="zh-CN"/>
        </w:rPr>
      </w:pPr>
      <w:r>
        <w:rPr>
          <w:rFonts w:hint="eastAsia" w:ascii="宋体" w:hAnsi="宋体" w:cs="宋体"/>
          <w:b/>
          <w:sz w:val="44"/>
          <w:szCs w:val="44"/>
          <w:lang w:eastAsia="zh-CN"/>
        </w:rPr>
        <w:t>金东邻里中心消防维保项目</w:t>
      </w:r>
    </w:p>
    <w:p w14:paraId="1AB92B7E">
      <w:pPr>
        <w:pStyle w:val="105"/>
        <w:spacing w:before="0" w:after="0"/>
        <w:ind w:firstLine="0"/>
        <w:jc w:val="center"/>
        <w:rPr>
          <w:rFonts w:hint="eastAsia" w:ascii="宋体" w:hAnsi="宋体" w:cs="宋体"/>
          <w:b/>
          <w:sz w:val="52"/>
          <w:szCs w:val="52"/>
        </w:rPr>
      </w:pPr>
    </w:p>
    <w:p w14:paraId="6330E6ED">
      <w:pPr>
        <w:pStyle w:val="105"/>
        <w:spacing w:before="0" w:after="0"/>
        <w:ind w:firstLine="0"/>
        <w:jc w:val="center"/>
        <w:rPr>
          <w:rFonts w:hint="eastAsia" w:ascii="宋体" w:hAnsi="宋体" w:cs="宋体"/>
          <w:b/>
          <w:sz w:val="52"/>
          <w:szCs w:val="52"/>
        </w:rPr>
      </w:pPr>
    </w:p>
    <w:p w14:paraId="13D034F3">
      <w:pPr>
        <w:pStyle w:val="105"/>
        <w:spacing w:before="0" w:after="0"/>
        <w:ind w:firstLine="0"/>
        <w:jc w:val="center"/>
        <w:rPr>
          <w:rFonts w:hint="eastAsia" w:ascii="宋体" w:hAnsi="宋体" w:cs="宋体"/>
          <w:b/>
          <w:sz w:val="52"/>
          <w:szCs w:val="52"/>
        </w:rPr>
      </w:pPr>
    </w:p>
    <w:p w14:paraId="6AC32247">
      <w:pPr>
        <w:pStyle w:val="105"/>
        <w:spacing w:before="0" w:after="0"/>
        <w:ind w:firstLine="0"/>
        <w:jc w:val="center"/>
        <w:rPr>
          <w:rFonts w:hint="eastAsia" w:ascii="宋体" w:hAnsi="宋体" w:cs="宋体"/>
          <w:b/>
          <w:bCs/>
          <w:sz w:val="84"/>
        </w:rPr>
      </w:pPr>
      <w:r>
        <w:rPr>
          <w:rFonts w:hint="eastAsia" w:ascii="宋体" w:hAnsi="宋体" w:cs="宋体"/>
          <w:b/>
          <w:bCs/>
          <w:sz w:val="84"/>
        </w:rPr>
        <w:t>竞争性磋商文件</w:t>
      </w:r>
    </w:p>
    <w:p w14:paraId="7ACF640E">
      <w:pPr>
        <w:pStyle w:val="105"/>
        <w:spacing w:before="0" w:after="0"/>
        <w:ind w:firstLine="0"/>
        <w:rPr>
          <w:rFonts w:hint="eastAsia" w:ascii="宋体" w:hAnsi="宋体" w:cs="宋体"/>
          <w:b/>
          <w:bCs/>
          <w:sz w:val="32"/>
        </w:rPr>
      </w:pPr>
      <w:r>
        <w:rPr>
          <w:rFonts w:hint="eastAsia" w:ascii="宋体" w:hAnsi="宋体" w:cs="宋体"/>
          <w:b/>
          <w:bCs/>
          <w:sz w:val="32"/>
        </w:rPr>
        <w:t xml:space="preserve">      </w:t>
      </w:r>
    </w:p>
    <w:p w14:paraId="297B43AA">
      <w:pPr>
        <w:pStyle w:val="105"/>
        <w:spacing w:before="0" w:after="0"/>
        <w:ind w:firstLine="0"/>
        <w:rPr>
          <w:rFonts w:hint="eastAsia" w:ascii="宋体" w:hAnsi="宋体" w:cs="宋体"/>
          <w:b/>
          <w:bCs/>
          <w:sz w:val="32"/>
        </w:rPr>
      </w:pPr>
    </w:p>
    <w:p w14:paraId="05FFDC8E">
      <w:pPr>
        <w:pStyle w:val="105"/>
        <w:spacing w:before="0" w:after="0"/>
        <w:ind w:firstLine="0"/>
        <w:rPr>
          <w:rFonts w:hint="eastAsia" w:ascii="宋体" w:hAnsi="宋体" w:cs="宋体"/>
          <w:b/>
          <w:bCs/>
          <w:sz w:val="32"/>
        </w:rPr>
      </w:pPr>
    </w:p>
    <w:p w14:paraId="0E5CD70A">
      <w:pPr>
        <w:pStyle w:val="105"/>
        <w:spacing w:before="0" w:after="0"/>
        <w:ind w:firstLine="0"/>
        <w:jc w:val="center"/>
        <w:rPr>
          <w:rFonts w:hint="eastAsia" w:ascii="宋体" w:hAnsi="宋体" w:cs="宋体"/>
          <w:b/>
          <w:bCs/>
          <w:sz w:val="32"/>
        </w:rPr>
      </w:pPr>
    </w:p>
    <w:p w14:paraId="2026C9FF">
      <w:pPr>
        <w:pStyle w:val="105"/>
        <w:spacing w:before="0" w:after="0"/>
        <w:ind w:firstLine="0"/>
        <w:jc w:val="center"/>
        <w:rPr>
          <w:rFonts w:hint="eastAsia" w:ascii="宋体" w:hAnsi="宋体" w:cs="宋体"/>
          <w:b/>
          <w:bCs/>
          <w:sz w:val="32"/>
        </w:rPr>
      </w:pPr>
    </w:p>
    <w:p w14:paraId="5894225F">
      <w:pPr>
        <w:spacing w:line="360" w:lineRule="auto"/>
        <w:ind w:firstLine="1285" w:firstLineChars="400"/>
        <w:jc w:val="left"/>
        <w:rPr>
          <w:rFonts w:hint="eastAsia" w:ascii="宋体" w:hAnsi="宋体" w:eastAsia="宋体" w:cs="宋体"/>
          <w:b/>
          <w:bCs/>
          <w:sz w:val="32"/>
          <w:szCs w:val="32"/>
          <w:u w:val="single"/>
          <w:lang w:eastAsia="zh-CN"/>
        </w:rPr>
      </w:pPr>
      <w:r>
        <w:rPr>
          <w:rFonts w:hint="eastAsia" w:ascii="宋体" w:hAnsi="宋体" w:cs="宋体"/>
          <w:b/>
          <w:bCs/>
          <w:sz w:val="32"/>
          <w:szCs w:val="32"/>
        </w:rPr>
        <w:t>采 购 人：</w:t>
      </w:r>
      <w:r>
        <w:rPr>
          <w:rFonts w:hint="eastAsia" w:ascii="宋体" w:hAnsi="宋体" w:cs="宋体"/>
          <w:b/>
          <w:bCs/>
          <w:sz w:val="32"/>
          <w:szCs w:val="32"/>
          <w:u w:val="single"/>
          <w:lang w:eastAsia="zh-CN"/>
        </w:rPr>
        <w:t>南通中宏产业投资集团有限公司</w:t>
      </w:r>
    </w:p>
    <w:p w14:paraId="5CDEA931">
      <w:pPr>
        <w:spacing w:line="360" w:lineRule="auto"/>
        <w:ind w:firstLine="1285" w:firstLineChars="400"/>
        <w:jc w:val="left"/>
        <w:rPr>
          <w:rFonts w:hint="eastAsia" w:ascii="宋体" w:hAnsi="宋体" w:cs="宋体"/>
          <w:b/>
          <w:bCs/>
          <w:sz w:val="32"/>
          <w:szCs w:val="32"/>
          <w:u w:val="single"/>
        </w:rPr>
      </w:pPr>
    </w:p>
    <w:p w14:paraId="73A56C71">
      <w:pPr>
        <w:spacing w:line="360" w:lineRule="auto"/>
        <w:jc w:val="center"/>
        <w:rPr>
          <w:rFonts w:hint="eastAsia" w:ascii="宋体" w:hAnsi="宋体" w:cs="宋体"/>
          <w:sz w:val="32"/>
          <w:szCs w:val="32"/>
        </w:rPr>
      </w:pPr>
      <w:r>
        <w:rPr>
          <w:rFonts w:hint="eastAsia" w:ascii="宋体" w:hAnsi="宋体" w:cs="宋体"/>
          <w:b/>
          <w:bCs/>
          <w:sz w:val="32"/>
          <w:szCs w:val="32"/>
        </w:rPr>
        <w:t>二〇二</w:t>
      </w:r>
      <w:r>
        <w:rPr>
          <w:rFonts w:hint="eastAsia" w:ascii="宋体" w:hAnsi="宋体" w:cs="宋体"/>
          <w:b/>
          <w:bCs/>
          <w:sz w:val="32"/>
          <w:szCs w:val="32"/>
          <w:lang w:val="en-US" w:eastAsia="zh-CN"/>
        </w:rPr>
        <w:t>六</w:t>
      </w:r>
      <w:r>
        <w:rPr>
          <w:rFonts w:hint="eastAsia" w:ascii="宋体" w:hAnsi="宋体" w:cs="宋体"/>
          <w:b/>
          <w:bCs/>
          <w:sz w:val="32"/>
          <w:szCs w:val="32"/>
        </w:rPr>
        <w:t>年</w:t>
      </w:r>
      <w:r>
        <w:rPr>
          <w:rFonts w:hint="eastAsia" w:ascii="宋体" w:hAnsi="宋体" w:cs="宋体"/>
          <w:b/>
          <w:bCs/>
          <w:sz w:val="32"/>
          <w:szCs w:val="32"/>
          <w:lang w:val="en-US" w:eastAsia="zh-CN"/>
        </w:rPr>
        <w:t>六</w:t>
      </w:r>
      <w:r>
        <w:rPr>
          <w:rFonts w:hint="eastAsia" w:ascii="宋体" w:hAnsi="宋体" w:cs="宋体"/>
          <w:b/>
          <w:bCs/>
          <w:sz w:val="32"/>
          <w:szCs w:val="32"/>
        </w:rPr>
        <w:t>月</w:t>
      </w:r>
    </w:p>
    <w:p w14:paraId="6689D712">
      <w:pPr>
        <w:spacing w:line="360" w:lineRule="auto"/>
        <w:jc w:val="center"/>
        <w:rPr>
          <w:rFonts w:hint="eastAsia" w:ascii="宋体" w:hAnsi="宋体" w:cs="宋体"/>
          <w:b/>
          <w:sz w:val="44"/>
          <w:szCs w:val="21"/>
        </w:rPr>
      </w:pPr>
      <w:r>
        <w:rPr>
          <w:rFonts w:hint="eastAsia" w:ascii="宋体" w:hAnsi="宋体" w:cs="宋体"/>
          <w:b/>
          <w:sz w:val="44"/>
          <w:szCs w:val="44"/>
        </w:rPr>
        <w:tab/>
      </w:r>
    </w:p>
    <w:p w14:paraId="7CF11B6C">
      <w:pPr>
        <w:spacing w:line="360" w:lineRule="auto"/>
        <w:rPr>
          <w:rFonts w:hint="eastAsia" w:ascii="宋体" w:hAnsi="宋体" w:cs="宋体"/>
          <w:b/>
          <w:sz w:val="44"/>
          <w:szCs w:val="21"/>
        </w:rPr>
      </w:pPr>
    </w:p>
    <w:p w14:paraId="18249EE8">
      <w:pPr>
        <w:spacing w:line="360" w:lineRule="auto"/>
        <w:jc w:val="center"/>
        <w:rPr>
          <w:rFonts w:hint="eastAsia" w:ascii="宋体" w:hAnsi="宋体" w:cs="宋体"/>
          <w:b/>
          <w:sz w:val="44"/>
          <w:szCs w:val="21"/>
        </w:rPr>
      </w:pPr>
      <w:r>
        <w:rPr>
          <w:rFonts w:hint="eastAsia" w:ascii="宋体" w:hAnsi="宋体" w:cs="宋体"/>
          <w:b/>
          <w:sz w:val="44"/>
          <w:szCs w:val="21"/>
        </w:rPr>
        <w:br w:type="page"/>
      </w:r>
      <w:r>
        <w:rPr>
          <w:rFonts w:hint="eastAsia" w:ascii="宋体" w:hAnsi="宋体" w:cs="宋体"/>
          <w:b/>
          <w:sz w:val="44"/>
          <w:szCs w:val="21"/>
        </w:rPr>
        <w:t>总 目 录</w:t>
      </w:r>
    </w:p>
    <w:p w14:paraId="2773471F">
      <w:pPr>
        <w:pStyle w:val="25"/>
        <w:spacing w:before="0" w:after="0" w:line="360" w:lineRule="auto"/>
        <w:rPr>
          <w:rFonts w:hint="eastAsia" w:ascii="宋体" w:hAnsi="宋体" w:eastAsia="宋体" w:cs="宋体"/>
          <w:b w:val="0"/>
          <w:sz w:val="24"/>
          <w:szCs w:val="24"/>
        </w:rPr>
      </w:pPr>
    </w:p>
    <w:p w14:paraId="0B15856D">
      <w:pPr>
        <w:spacing w:line="360" w:lineRule="auto"/>
        <w:outlineLvl w:val="0"/>
        <w:rPr>
          <w:rFonts w:hint="eastAsia" w:ascii="宋体" w:hAnsi="宋体" w:cs="宋体"/>
          <w:sz w:val="36"/>
          <w:szCs w:val="21"/>
        </w:rPr>
      </w:pPr>
      <w:r>
        <w:rPr>
          <w:rFonts w:hint="eastAsia" w:ascii="宋体" w:hAnsi="宋体" w:cs="宋体"/>
          <w:sz w:val="36"/>
          <w:szCs w:val="21"/>
        </w:rPr>
        <w:t xml:space="preserve">第一章    </w:t>
      </w:r>
      <w:r>
        <w:rPr>
          <w:rFonts w:hint="eastAsia" w:ascii="宋体" w:hAnsi="宋体" w:cs="宋体"/>
          <w:sz w:val="36"/>
          <w:szCs w:val="21"/>
          <w:lang w:eastAsia="zh-CN"/>
        </w:rPr>
        <w:t>采购公告</w:t>
      </w:r>
      <w:r>
        <w:rPr>
          <w:rFonts w:hint="eastAsia" w:ascii="宋体" w:hAnsi="宋体" w:cs="宋体"/>
          <w:sz w:val="36"/>
          <w:szCs w:val="21"/>
        </w:rPr>
        <w:t xml:space="preserve">                                          </w:t>
      </w:r>
    </w:p>
    <w:p w14:paraId="6D4F1EE3">
      <w:pPr>
        <w:spacing w:line="360" w:lineRule="auto"/>
        <w:outlineLvl w:val="0"/>
        <w:rPr>
          <w:rFonts w:hint="eastAsia" w:ascii="宋体" w:hAnsi="宋体" w:cs="宋体"/>
          <w:sz w:val="36"/>
          <w:szCs w:val="21"/>
        </w:rPr>
      </w:pPr>
      <w:r>
        <w:rPr>
          <w:rFonts w:hint="eastAsia" w:ascii="宋体" w:hAnsi="宋体" w:cs="宋体"/>
          <w:sz w:val="36"/>
          <w:szCs w:val="21"/>
        </w:rPr>
        <w:t>第二章    磋商须知</w:t>
      </w:r>
    </w:p>
    <w:p w14:paraId="39A79814">
      <w:pPr>
        <w:spacing w:line="360" w:lineRule="auto"/>
        <w:outlineLvl w:val="0"/>
        <w:rPr>
          <w:rFonts w:hint="eastAsia" w:ascii="宋体" w:hAnsi="宋体" w:cs="宋体"/>
          <w:sz w:val="36"/>
          <w:szCs w:val="21"/>
        </w:rPr>
      </w:pPr>
      <w:r>
        <w:rPr>
          <w:rFonts w:hint="eastAsia" w:ascii="宋体" w:hAnsi="宋体" w:cs="宋体"/>
          <w:sz w:val="36"/>
          <w:szCs w:val="21"/>
        </w:rPr>
        <w:t>第三章    合同条款及格式</w:t>
      </w:r>
    </w:p>
    <w:p w14:paraId="6156AB10">
      <w:pPr>
        <w:spacing w:line="360" w:lineRule="auto"/>
        <w:outlineLvl w:val="0"/>
        <w:rPr>
          <w:rFonts w:hint="eastAsia" w:ascii="宋体" w:hAnsi="宋体" w:cs="宋体"/>
          <w:sz w:val="36"/>
          <w:szCs w:val="21"/>
        </w:rPr>
      </w:pPr>
      <w:r>
        <w:rPr>
          <w:rFonts w:hint="eastAsia" w:ascii="宋体" w:hAnsi="宋体" w:cs="宋体"/>
          <w:sz w:val="36"/>
          <w:szCs w:val="21"/>
        </w:rPr>
        <w:t>第四章    项目需求</w:t>
      </w:r>
    </w:p>
    <w:p w14:paraId="4ED5572A">
      <w:pPr>
        <w:spacing w:line="360" w:lineRule="auto"/>
        <w:outlineLvl w:val="0"/>
        <w:rPr>
          <w:rFonts w:hint="eastAsia" w:ascii="宋体" w:hAnsi="宋体" w:cs="宋体"/>
          <w:sz w:val="36"/>
          <w:szCs w:val="21"/>
        </w:rPr>
      </w:pPr>
      <w:r>
        <w:rPr>
          <w:rFonts w:hint="eastAsia" w:ascii="宋体" w:hAnsi="宋体" w:cs="宋体"/>
          <w:sz w:val="36"/>
          <w:szCs w:val="21"/>
        </w:rPr>
        <w:t>第五章    评审方法和评审标准</w:t>
      </w:r>
    </w:p>
    <w:p w14:paraId="56A1CD1E">
      <w:pPr>
        <w:spacing w:line="360" w:lineRule="auto"/>
        <w:outlineLvl w:val="0"/>
        <w:rPr>
          <w:rFonts w:hint="eastAsia" w:ascii="宋体" w:hAnsi="宋体" w:cs="宋体"/>
          <w:sz w:val="36"/>
          <w:szCs w:val="21"/>
        </w:rPr>
      </w:pPr>
      <w:r>
        <w:rPr>
          <w:rFonts w:hint="eastAsia" w:ascii="宋体" w:hAnsi="宋体" w:cs="宋体"/>
          <w:sz w:val="36"/>
          <w:szCs w:val="21"/>
        </w:rPr>
        <w:t>第六章    响应文件的组成和格式</w:t>
      </w:r>
    </w:p>
    <w:p w14:paraId="5D62A312">
      <w:pPr>
        <w:spacing w:line="360" w:lineRule="auto"/>
        <w:rPr>
          <w:rFonts w:hint="eastAsia" w:ascii="宋体" w:hAnsi="宋体" w:cs="宋体"/>
        </w:rPr>
      </w:pPr>
    </w:p>
    <w:p w14:paraId="6646A69A">
      <w:pPr>
        <w:spacing w:line="360" w:lineRule="auto"/>
        <w:rPr>
          <w:rFonts w:hint="eastAsia" w:ascii="宋体" w:hAnsi="宋体" w:cs="宋体"/>
        </w:rPr>
        <w:sectPr>
          <w:pgSz w:w="11906" w:h="16838"/>
          <w:pgMar w:top="1418" w:right="1555" w:bottom="1418" w:left="1531" w:header="851" w:footer="992" w:gutter="0"/>
          <w:lnNumType w:countBy="0" w:distance="360"/>
          <w:cols w:space="720" w:num="1"/>
          <w:titlePg/>
          <w:rtlGutter w:val="1"/>
          <w:docGrid w:linePitch="312" w:charSpace="0"/>
        </w:sectPr>
      </w:pPr>
    </w:p>
    <w:p w14:paraId="5890F88A">
      <w:pPr>
        <w:pStyle w:val="103"/>
        <w:rPr>
          <w:rFonts w:hint="eastAsia" w:ascii="宋体" w:hAnsi="宋体" w:cs="宋体"/>
        </w:rPr>
      </w:pPr>
    </w:p>
    <w:p w14:paraId="119BC9E1">
      <w:pPr>
        <w:pStyle w:val="3"/>
        <w:spacing w:line="360" w:lineRule="auto"/>
        <w:jc w:val="center"/>
        <w:rPr>
          <w:rFonts w:hint="eastAsia" w:ascii="宋体" w:hAnsi="宋体" w:eastAsia="宋体" w:cs="宋体"/>
          <w:b/>
          <w:bCs/>
          <w:sz w:val="32"/>
          <w:szCs w:val="32"/>
          <w:lang w:eastAsia="zh-CN"/>
        </w:rPr>
      </w:pPr>
      <w:r>
        <w:rPr>
          <w:rFonts w:hint="eastAsia" w:ascii="宋体" w:hAnsi="宋体" w:eastAsia="宋体" w:cs="宋体"/>
          <w:b/>
          <w:bCs/>
          <w:sz w:val="32"/>
          <w:szCs w:val="32"/>
        </w:rPr>
        <w:t xml:space="preserve">第一章 </w:t>
      </w:r>
      <w:r>
        <w:rPr>
          <w:rFonts w:hint="eastAsia" w:ascii="宋体" w:hAnsi="宋体" w:eastAsia="宋体" w:cs="宋体"/>
          <w:b/>
          <w:bCs/>
          <w:sz w:val="32"/>
          <w:szCs w:val="32"/>
          <w:lang w:eastAsia="zh-CN"/>
        </w:rPr>
        <w:t>采购公告</w:t>
      </w:r>
    </w:p>
    <w:p w14:paraId="7EDD46AB">
      <w:pPr>
        <w:pStyle w:val="3"/>
        <w:spacing w:line="360" w:lineRule="auto"/>
        <w:jc w:val="center"/>
        <w:rPr>
          <w:rFonts w:hint="eastAsia" w:ascii="宋体" w:hAnsi="宋体" w:eastAsia="宋体" w:cs="宋体"/>
          <w:b/>
          <w:bCs/>
          <w:sz w:val="32"/>
          <w:szCs w:val="32"/>
          <w:lang w:eastAsia="zh-CN"/>
        </w:rPr>
      </w:pPr>
      <w:bookmarkStart w:id="0" w:name="_Hlt26670330"/>
      <w:bookmarkEnd w:id="0"/>
      <w:bookmarkStart w:id="1" w:name="_Hlt26668836"/>
      <w:bookmarkEnd w:id="1"/>
      <w:bookmarkStart w:id="2" w:name="_Hlt26954824"/>
      <w:bookmarkEnd w:id="2"/>
      <w:bookmarkStart w:id="3" w:name="_Hlt26954810"/>
      <w:bookmarkEnd w:id="3"/>
      <w:bookmarkStart w:id="4" w:name="_Hlt26954907"/>
      <w:bookmarkEnd w:id="4"/>
      <w:bookmarkStart w:id="5" w:name="_Toc14577347"/>
      <w:bookmarkStart w:id="6" w:name="_Toc513029209"/>
      <w:bookmarkStart w:id="7" w:name="_Toc61149549"/>
      <w:r>
        <w:rPr>
          <w:rFonts w:hint="eastAsia" w:ascii="宋体" w:hAnsi="宋体" w:eastAsia="宋体" w:cs="宋体"/>
          <w:b/>
          <w:bCs/>
          <w:sz w:val="32"/>
          <w:szCs w:val="32"/>
          <w:lang w:eastAsia="zh-CN"/>
        </w:rPr>
        <w:t>金东邻里中心消防维保项目</w:t>
      </w:r>
    </w:p>
    <w:p w14:paraId="17E14F3A">
      <w:pPr>
        <w:pStyle w:val="3"/>
        <w:spacing w:line="360" w:lineRule="auto"/>
        <w:jc w:val="center"/>
        <w:rPr>
          <w:rFonts w:hint="eastAsia" w:ascii="宋体" w:hAnsi="宋体" w:eastAsia="宋体" w:cs="宋体"/>
          <w:b/>
          <w:bCs/>
          <w:sz w:val="44"/>
          <w:szCs w:val="44"/>
          <w:lang w:eastAsia="zh-CN"/>
        </w:rPr>
      </w:pPr>
      <w:r>
        <w:rPr>
          <w:rFonts w:hint="eastAsia" w:ascii="宋体" w:hAnsi="宋体" w:eastAsia="宋体" w:cs="宋体"/>
          <w:b/>
          <w:bCs/>
          <w:sz w:val="32"/>
          <w:szCs w:val="32"/>
          <w:lang w:val="en-US" w:eastAsia="zh-CN"/>
        </w:rPr>
        <w:t>磋商</w:t>
      </w:r>
      <w:r>
        <w:rPr>
          <w:rFonts w:hint="eastAsia" w:ascii="宋体" w:hAnsi="宋体" w:eastAsia="宋体" w:cs="宋体"/>
          <w:b/>
          <w:bCs/>
          <w:sz w:val="32"/>
          <w:szCs w:val="32"/>
          <w:lang w:eastAsia="zh-CN"/>
        </w:rPr>
        <w:t>公告</w:t>
      </w:r>
    </w:p>
    <w:p w14:paraId="2AE839A3">
      <w:pPr>
        <w:pBdr>
          <w:top w:val="single" w:color="auto" w:sz="4" w:space="1"/>
          <w:left w:val="single" w:color="auto" w:sz="4" w:space="4"/>
          <w:bottom w:val="single" w:color="auto" w:sz="4" w:space="0"/>
          <w:right w:val="single" w:color="auto" w:sz="4" w:space="0"/>
        </w:pBdr>
        <w:spacing w:line="440" w:lineRule="exact"/>
        <w:rPr>
          <w:rFonts w:hint="eastAsia" w:ascii="宋体" w:hAnsi="宋体" w:eastAsia="宋体" w:cs="宋体"/>
          <w:b w:val="0"/>
          <w:bCs w:val="0"/>
          <w:sz w:val="24"/>
          <w:highlight w:val="none"/>
        </w:rPr>
      </w:pPr>
      <w:bookmarkStart w:id="8" w:name="_Hlk67480463"/>
      <w:r>
        <w:rPr>
          <w:rFonts w:hint="eastAsia" w:ascii="宋体" w:hAnsi="宋体" w:eastAsia="宋体" w:cs="宋体"/>
          <w:b w:val="0"/>
          <w:bCs w:val="0"/>
          <w:sz w:val="24"/>
          <w:highlight w:val="none"/>
        </w:rPr>
        <w:t>项目概况</w:t>
      </w:r>
    </w:p>
    <w:p w14:paraId="65449B83">
      <w:pPr>
        <w:pBdr>
          <w:top w:val="single" w:color="auto" w:sz="4" w:space="1"/>
          <w:left w:val="single" w:color="auto" w:sz="4" w:space="4"/>
          <w:bottom w:val="single" w:color="auto" w:sz="4" w:space="0"/>
          <w:right w:val="single" w:color="auto" w:sz="4" w:space="0"/>
        </w:pBdr>
        <w:spacing w:line="440" w:lineRule="exact"/>
        <w:ind w:firstLine="480" w:firstLineChars="200"/>
        <w:rPr>
          <w:rFonts w:hint="eastAsia" w:ascii="宋体" w:hAnsi="宋体" w:eastAsia="宋体" w:cs="宋体"/>
          <w:b w:val="0"/>
          <w:bCs w:val="0"/>
          <w:sz w:val="24"/>
          <w:highlight w:val="none"/>
        </w:rPr>
      </w:pPr>
      <w:r>
        <w:rPr>
          <w:rFonts w:hint="eastAsia" w:ascii="宋体" w:hAnsi="宋体" w:eastAsia="宋体" w:cs="宋体"/>
          <w:b w:val="0"/>
          <w:bCs w:val="0"/>
          <w:sz w:val="24"/>
          <w:highlight w:val="none"/>
        </w:rPr>
        <w:t>金东邻里中心消防维保项目的潜在</w:t>
      </w:r>
      <w:r>
        <w:rPr>
          <w:rFonts w:hint="eastAsia" w:ascii="宋体" w:hAnsi="宋体" w:eastAsia="宋体" w:cs="宋体"/>
          <w:b w:val="0"/>
          <w:bCs w:val="0"/>
          <w:sz w:val="24"/>
          <w:highlight w:val="none"/>
          <w:lang w:val="en-US" w:eastAsia="zh-CN"/>
        </w:rPr>
        <w:t>供应商</w:t>
      </w:r>
      <w:r>
        <w:rPr>
          <w:rFonts w:hint="eastAsia" w:ascii="宋体" w:hAnsi="宋体" w:eastAsia="宋体" w:cs="宋体"/>
          <w:b w:val="0"/>
          <w:bCs w:val="0"/>
          <w:sz w:val="24"/>
          <w:highlight w:val="none"/>
        </w:rPr>
        <w:t>应在“南通圆宏控股集团有限公司集团官网（https://www.ntyhjt.com/lists/12.html）－公告公示－招标投标版块”自行免费下载采购文件，并于202</w:t>
      </w:r>
      <w:r>
        <w:rPr>
          <w:rFonts w:hint="eastAsia" w:ascii="宋体" w:hAnsi="宋体" w:eastAsia="宋体" w:cs="宋体"/>
          <w:b w:val="0"/>
          <w:bCs w:val="0"/>
          <w:sz w:val="24"/>
          <w:highlight w:val="none"/>
          <w:lang w:val="en-US" w:eastAsia="zh-CN"/>
        </w:rPr>
        <w:t>6</w:t>
      </w:r>
      <w:r>
        <w:rPr>
          <w:rFonts w:hint="eastAsia" w:ascii="宋体" w:hAnsi="宋体" w:eastAsia="宋体" w:cs="宋体"/>
          <w:b w:val="0"/>
          <w:bCs w:val="0"/>
          <w:sz w:val="24"/>
          <w:highlight w:val="none"/>
        </w:rPr>
        <w:t>年</w:t>
      </w:r>
      <w:r>
        <w:rPr>
          <w:rFonts w:hint="eastAsia" w:ascii="宋体" w:hAnsi="宋体" w:eastAsia="宋体" w:cs="宋体"/>
          <w:b w:val="0"/>
          <w:bCs w:val="0"/>
          <w:sz w:val="24"/>
          <w:highlight w:val="none"/>
          <w:lang w:val="en-US" w:eastAsia="zh-CN"/>
        </w:rPr>
        <w:t xml:space="preserve"> </w:t>
      </w:r>
      <w:r>
        <w:rPr>
          <w:rFonts w:hint="eastAsia" w:ascii="宋体" w:hAnsi="宋体" w:cs="宋体"/>
          <w:b w:val="0"/>
          <w:bCs w:val="0"/>
          <w:sz w:val="24"/>
          <w:highlight w:val="none"/>
          <w:lang w:val="en-US" w:eastAsia="zh-CN"/>
        </w:rPr>
        <w:t>7</w:t>
      </w:r>
      <w:r>
        <w:rPr>
          <w:rFonts w:hint="eastAsia" w:ascii="宋体" w:hAnsi="宋体" w:eastAsia="宋体" w:cs="宋体"/>
          <w:b w:val="0"/>
          <w:bCs w:val="0"/>
          <w:sz w:val="24"/>
          <w:highlight w:val="none"/>
        </w:rPr>
        <w:t>月</w:t>
      </w:r>
      <w:r>
        <w:rPr>
          <w:rFonts w:hint="eastAsia" w:ascii="宋体" w:hAnsi="宋体" w:eastAsia="宋体" w:cs="宋体"/>
          <w:b w:val="0"/>
          <w:bCs w:val="0"/>
          <w:sz w:val="24"/>
          <w:highlight w:val="none"/>
          <w:lang w:val="en-US" w:eastAsia="zh-CN"/>
        </w:rPr>
        <w:t xml:space="preserve"> </w:t>
      </w:r>
      <w:r>
        <w:rPr>
          <w:rFonts w:hint="eastAsia" w:ascii="宋体" w:hAnsi="宋体" w:cs="宋体"/>
          <w:b w:val="0"/>
          <w:bCs w:val="0"/>
          <w:sz w:val="24"/>
          <w:highlight w:val="none"/>
          <w:lang w:val="en-US" w:eastAsia="zh-CN"/>
        </w:rPr>
        <w:t>7</w:t>
      </w:r>
      <w:r>
        <w:rPr>
          <w:rFonts w:hint="eastAsia" w:ascii="宋体" w:hAnsi="宋体" w:eastAsia="宋体" w:cs="宋体"/>
          <w:b w:val="0"/>
          <w:bCs w:val="0"/>
          <w:sz w:val="24"/>
          <w:highlight w:val="none"/>
        </w:rPr>
        <w:t>日</w:t>
      </w:r>
      <w:r>
        <w:rPr>
          <w:rFonts w:hint="eastAsia" w:ascii="宋体" w:hAnsi="宋体" w:eastAsia="宋体" w:cs="宋体"/>
          <w:b w:val="0"/>
          <w:bCs w:val="0"/>
          <w:sz w:val="24"/>
          <w:highlight w:val="none"/>
          <w:lang w:val="en-US" w:eastAsia="zh-CN"/>
        </w:rPr>
        <w:t>14</w:t>
      </w:r>
      <w:r>
        <w:rPr>
          <w:rFonts w:hint="eastAsia" w:ascii="宋体" w:hAnsi="宋体" w:eastAsia="宋体" w:cs="宋体"/>
          <w:b w:val="0"/>
          <w:bCs w:val="0"/>
          <w:sz w:val="24"/>
          <w:highlight w:val="none"/>
        </w:rPr>
        <w:t>时</w:t>
      </w:r>
      <w:r>
        <w:rPr>
          <w:rFonts w:hint="eastAsia" w:ascii="宋体" w:hAnsi="宋体" w:eastAsia="宋体" w:cs="宋体"/>
          <w:b w:val="0"/>
          <w:bCs w:val="0"/>
          <w:sz w:val="24"/>
          <w:highlight w:val="none"/>
          <w:lang w:val="en-US" w:eastAsia="zh-CN"/>
        </w:rPr>
        <w:t>00</w:t>
      </w:r>
      <w:r>
        <w:rPr>
          <w:rFonts w:hint="eastAsia" w:ascii="宋体" w:hAnsi="宋体" w:eastAsia="宋体" w:cs="宋体"/>
          <w:b w:val="0"/>
          <w:bCs w:val="0"/>
          <w:sz w:val="24"/>
          <w:highlight w:val="none"/>
        </w:rPr>
        <w:t>分（北京时间）前提交</w:t>
      </w:r>
      <w:r>
        <w:rPr>
          <w:rFonts w:hint="eastAsia" w:ascii="宋体" w:hAnsi="宋体" w:eastAsia="宋体" w:cs="宋体"/>
          <w:b w:val="0"/>
          <w:bCs w:val="0"/>
          <w:sz w:val="24"/>
          <w:highlight w:val="none"/>
          <w:lang w:val="en-US" w:eastAsia="zh-CN"/>
        </w:rPr>
        <w:t>响应</w:t>
      </w:r>
      <w:r>
        <w:rPr>
          <w:rFonts w:hint="eastAsia" w:ascii="宋体" w:hAnsi="宋体" w:eastAsia="宋体" w:cs="宋体"/>
          <w:b w:val="0"/>
          <w:bCs w:val="0"/>
          <w:sz w:val="24"/>
          <w:highlight w:val="none"/>
        </w:rPr>
        <w:t>文件。</w:t>
      </w:r>
    </w:p>
    <w:bookmarkEnd w:id="8"/>
    <w:p w14:paraId="5EDB2E19">
      <w:pPr>
        <w:spacing w:line="480" w:lineRule="exact"/>
        <w:rPr>
          <w:rFonts w:hint="eastAsia" w:ascii="宋体" w:hAnsi="宋体" w:cs="宋体"/>
          <w:b/>
          <w:bCs/>
          <w:sz w:val="24"/>
        </w:rPr>
      </w:pPr>
      <w:r>
        <w:rPr>
          <w:rFonts w:hint="eastAsia" w:ascii="宋体" w:hAnsi="宋体" w:cs="宋体"/>
          <w:b/>
          <w:bCs/>
          <w:sz w:val="24"/>
        </w:rPr>
        <w:t>一、项目基本情况</w:t>
      </w:r>
    </w:p>
    <w:p w14:paraId="26669A87">
      <w:pPr>
        <w:spacing w:line="480" w:lineRule="exact"/>
        <w:ind w:firstLine="480" w:firstLineChars="200"/>
        <w:rPr>
          <w:rFonts w:hint="eastAsia" w:ascii="宋体" w:hAnsi="宋体" w:eastAsia="宋体" w:cs="宋体"/>
          <w:sz w:val="24"/>
          <w:lang w:eastAsia="zh-CN"/>
        </w:rPr>
      </w:pPr>
      <w:r>
        <w:rPr>
          <w:rFonts w:hint="eastAsia" w:ascii="宋体" w:hAnsi="宋体" w:cs="宋体"/>
          <w:sz w:val="24"/>
        </w:rPr>
        <w:t>1.项目名称：</w:t>
      </w:r>
      <w:r>
        <w:rPr>
          <w:rFonts w:hint="eastAsia" w:ascii="宋体" w:hAnsi="宋体" w:cs="宋体"/>
          <w:sz w:val="24"/>
          <w:lang w:eastAsia="zh-CN"/>
        </w:rPr>
        <w:t>金东邻里中心消防维保项目</w:t>
      </w:r>
    </w:p>
    <w:p w14:paraId="7DF8023C">
      <w:pPr>
        <w:spacing w:line="480" w:lineRule="exact"/>
        <w:ind w:firstLine="480" w:firstLineChars="200"/>
        <w:rPr>
          <w:rFonts w:hint="eastAsia" w:ascii="宋体" w:hAnsi="宋体" w:cs="宋体"/>
          <w:sz w:val="24"/>
        </w:rPr>
      </w:pPr>
      <w:r>
        <w:rPr>
          <w:rFonts w:hint="eastAsia" w:ascii="宋体" w:hAnsi="宋体" w:cs="宋体"/>
          <w:sz w:val="24"/>
        </w:rPr>
        <w:t xml:space="preserve">2.采购方式：竞争性磋商 </w:t>
      </w:r>
    </w:p>
    <w:p w14:paraId="3CFCC7B2">
      <w:pPr>
        <w:spacing w:line="480" w:lineRule="exact"/>
        <w:ind w:firstLine="480" w:firstLineChars="200"/>
        <w:rPr>
          <w:rFonts w:hint="eastAsia" w:ascii="宋体" w:hAnsi="宋体" w:eastAsia="宋体" w:cs="宋体"/>
          <w:color w:val="000000"/>
          <w:spacing w:val="7"/>
          <w:kern w:val="0"/>
          <w:sz w:val="24"/>
          <w:highlight w:val="none"/>
          <w:lang w:val="en-US" w:eastAsia="zh-CN"/>
        </w:rPr>
      </w:pPr>
      <w:r>
        <w:rPr>
          <w:rFonts w:hint="eastAsia" w:ascii="宋体" w:hAnsi="宋体" w:cs="宋体"/>
          <w:sz w:val="24"/>
        </w:rPr>
        <w:t>3.预算金额：</w:t>
      </w:r>
      <w:r>
        <w:rPr>
          <w:rFonts w:hint="eastAsia" w:ascii="宋体" w:hAnsi="宋体" w:eastAsia="宋体" w:cs="宋体"/>
          <w:color w:val="000000"/>
          <w:spacing w:val="7"/>
          <w:kern w:val="0"/>
          <w:sz w:val="24"/>
          <w:highlight w:val="none"/>
          <w:lang w:val="en-US" w:eastAsia="zh-CN"/>
        </w:rPr>
        <w:t>人民币47200元（不含税）</w:t>
      </w:r>
    </w:p>
    <w:p w14:paraId="0D43FD4D">
      <w:pPr>
        <w:spacing w:line="480" w:lineRule="exact"/>
        <w:ind w:firstLine="480" w:firstLineChars="200"/>
        <w:rPr>
          <w:rFonts w:hint="eastAsia" w:ascii="宋体" w:hAnsi="宋体" w:cs="宋体"/>
          <w:sz w:val="24"/>
        </w:rPr>
      </w:pPr>
      <w:r>
        <w:rPr>
          <w:rFonts w:hint="eastAsia" w:ascii="宋体" w:hAnsi="宋体" w:cs="宋体"/>
          <w:sz w:val="24"/>
        </w:rPr>
        <w:t>4.</w:t>
      </w:r>
      <w:r>
        <w:rPr>
          <w:rFonts w:hint="eastAsia" w:ascii="宋体" w:hAnsi="宋体" w:cs="宋体"/>
          <w:sz w:val="24"/>
          <w:lang w:val="en-US" w:eastAsia="zh-CN"/>
        </w:rPr>
        <w:t>最高限价</w:t>
      </w:r>
      <w:r>
        <w:rPr>
          <w:rFonts w:hint="eastAsia" w:ascii="宋体" w:hAnsi="宋体" w:cs="宋体"/>
          <w:sz w:val="24"/>
        </w:rPr>
        <w:t>：本项目设定最高限价，最高限价（不含税）为</w:t>
      </w:r>
      <w:r>
        <w:rPr>
          <w:rFonts w:hint="eastAsia" w:ascii="宋体" w:hAnsi="宋体" w:eastAsia="宋体" w:cs="宋体"/>
          <w:color w:val="000000"/>
          <w:spacing w:val="7"/>
          <w:kern w:val="0"/>
          <w:sz w:val="24"/>
          <w:highlight w:val="none"/>
          <w:lang w:val="en-US" w:eastAsia="zh-CN"/>
        </w:rPr>
        <w:t>人民币47200元</w:t>
      </w:r>
      <w:r>
        <w:rPr>
          <w:rFonts w:hint="eastAsia" w:ascii="宋体" w:hAnsi="宋体" w:cs="宋体"/>
          <w:sz w:val="24"/>
        </w:rPr>
        <w:t>，报价超过最高限价的为无效响应文件。</w:t>
      </w:r>
    </w:p>
    <w:p w14:paraId="053D1693">
      <w:pPr>
        <w:spacing w:line="480" w:lineRule="exact"/>
        <w:ind w:firstLine="480" w:firstLineChars="200"/>
        <w:rPr>
          <w:rFonts w:hint="eastAsia" w:ascii="宋体" w:hAnsi="宋体" w:cs="宋体"/>
          <w:sz w:val="24"/>
          <w:highlight w:val="none"/>
        </w:rPr>
      </w:pPr>
      <w:r>
        <w:rPr>
          <w:rFonts w:hint="eastAsia" w:ascii="宋体" w:hAnsi="宋体" w:cs="宋体"/>
          <w:sz w:val="24"/>
          <w:highlight w:val="none"/>
        </w:rPr>
        <w:t>5.采购需求：具体服务需求详见第四章项目需求。</w:t>
      </w:r>
    </w:p>
    <w:p w14:paraId="0FDF6CC8">
      <w:pPr>
        <w:spacing w:line="480" w:lineRule="exact"/>
        <w:ind w:firstLine="480" w:firstLineChars="200"/>
        <w:rPr>
          <w:rFonts w:hint="eastAsia" w:ascii="宋体" w:hAnsi="宋体" w:cs="宋体"/>
          <w:color w:val="0070C0"/>
          <w:sz w:val="24"/>
          <w:highlight w:val="none"/>
        </w:rPr>
      </w:pPr>
      <w:r>
        <w:rPr>
          <w:rFonts w:hint="eastAsia" w:ascii="宋体" w:hAnsi="宋体" w:cs="宋体"/>
          <w:sz w:val="24"/>
          <w:highlight w:val="none"/>
        </w:rPr>
        <w:t>6.</w:t>
      </w:r>
      <w:r>
        <w:rPr>
          <w:rFonts w:hint="eastAsia" w:ascii="宋体" w:hAnsi="宋体" w:cs="宋体"/>
          <w:kern w:val="0"/>
          <w:sz w:val="24"/>
          <w:highlight w:val="none"/>
        </w:rPr>
        <w:t>服务期限：1年。具体服务期限从中标单位实际入驻之日起算为期1年。在到期前，根据考核结果和项目需要续约，不超过2次。</w:t>
      </w:r>
    </w:p>
    <w:p w14:paraId="1E88D4B3">
      <w:pPr>
        <w:spacing w:line="480" w:lineRule="exact"/>
        <w:ind w:firstLine="480" w:firstLineChars="200"/>
        <w:rPr>
          <w:rFonts w:hint="eastAsia" w:ascii="宋体" w:hAnsi="宋体" w:cs="宋体"/>
          <w:sz w:val="24"/>
        </w:rPr>
      </w:pPr>
      <w:r>
        <w:rPr>
          <w:rFonts w:hint="eastAsia" w:ascii="宋体" w:hAnsi="宋体" w:cs="宋体"/>
          <w:sz w:val="24"/>
        </w:rPr>
        <w:t>7.本项目不接受联合体参与磋商。</w:t>
      </w:r>
    </w:p>
    <w:p w14:paraId="2995BFFE">
      <w:pPr>
        <w:spacing w:line="480" w:lineRule="exact"/>
        <w:rPr>
          <w:rFonts w:hint="eastAsia" w:ascii="宋体" w:hAnsi="宋体" w:cs="宋体"/>
          <w:b/>
          <w:sz w:val="24"/>
        </w:rPr>
      </w:pPr>
      <w:r>
        <w:rPr>
          <w:rFonts w:hint="eastAsia" w:ascii="宋体" w:hAnsi="宋体" w:cs="宋体"/>
          <w:b/>
          <w:sz w:val="24"/>
        </w:rPr>
        <w:t>二、申请人的资格要求</w:t>
      </w:r>
    </w:p>
    <w:p w14:paraId="6C8D2189">
      <w:pPr>
        <w:snapToGrid w:val="0"/>
        <w:spacing w:line="480" w:lineRule="exact"/>
        <w:ind w:firstLine="482" w:firstLineChars="200"/>
        <w:rPr>
          <w:rFonts w:hint="eastAsia" w:ascii="宋体" w:hAnsi="宋体" w:cs="宋体"/>
          <w:b/>
          <w:sz w:val="24"/>
        </w:rPr>
      </w:pPr>
      <w:r>
        <w:rPr>
          <w:rFonts w:hint="eastAsia" w:ascii="宋体" w:hAnsi="宋体" w:cs="宋体"/>
          <w:b/>
          <w:sz w:val="24"/>
          <w:lang w:val="en-US" w:eastAsia="zh-CN"/>
        </w:rPr>
        <w:t>1.</w:t>
      </w:r>
      <w:r>
        <w:rPr>
          <w:rFonts w:hint="eastAsia" w:ascii="宋体" w:hAnsi="宋体" w:cs="宋体"/>
          <w:b/>
          <w:sz w:val="24"/>
        </w:rPr>
        <w:t>满足下列规定：</w:t>
      </w:r>
    </w:p>
    <w:p w14:paraId="6B064E86">
      <w:pPr>
        <w:snapToGrid w:val="0"/>
        <w:spacing w:line="480" w:lineRule="exact"/>
        <w:ind w:firstLine="480" w:firstLineChars="200"/>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1</w:t>
      </w:r>
      <w:r>
        <w:rPr>
          <w:rFonts w:hint="eastAsia" w:ascii="宋体" w:hAnsi="宋体" w:cs="宋体"/>
          <w:sz w:val="24"/>
          <w:lang w:eastAsia="zh-CN"/>
        </w:rPr>
        <w:t>）</w:t>
      </w:r>
      <w:r>
        <w:rPr>
          <w:rFonts w:hint="eastAsia" w:ascii="宋体" w:hAnsi="宋体" w:cs="宋体"/>
          <w:sz w:val="24"/>
        </w:rPr>
        <w:t>具有独立承担民事责任的能力；</w:t>
      </w:r>
    </w:p>
    <w:p w14:paraId="02630F76">
      <w:pPr>
        <w:snapToGrid w:val="0"/>
        <w:spacing w:line="480" w:lineRule="exact"/>
        <w:ind w:firstLine="480" w:firstLineChars="200"/>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lang w:eastAsia="zh-CN"/>
        </w:rPr>
        <w:t>）</w:t>
      </w:r>
      <w:r>
        <w:rPr>
          <w:rFonts w:hint="eastAsia" w:ascii="宋体" w:hAnsi="宋体" w:cs="宋体"/>
          <w:sz w:val="24"/>
        </w:rPr>
        <w:t>具有良好的商业信誉和健全的财务会计制度；</w:t>
      </w:r>
    </w:p>
    <w:p w14:paraId="3F1958D0">
      <w:pPr>
        <w:snapToGrid w:val="0"/>
        <w:spacing w:line="480" w:lineRule="exact"/>
        <w:ind w:firstLine="480" w:firstLineChars="200"/>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3</w:t>
      </w:r>
      <w:r>
        <w:rPr>
          <w:rFonts w:hint="eastAsia" w:ascii="宋体" w:hAnsi="宋体" w:cs="宋体"/>
          <w:sz w:val="24"/>
          <w:lang w:eastAsia="zh-CN"/>
        </w:rPr>
        <w:t>）</w:t>
      </w:r>
      <w:r>
        <w:rPr>
          <w:rFonts w:hint="eastAsia" w:ascii="宋体" w:hAnsi="宋体" w:cs="宋体"/>
          <w:sz w:val="24"/>
        </w:rPr>
        <w:t>具有履行合同</w:t>
      </w:r>
      <w:r>
        <w:rPr>
          <w:rFonts w:hint="eastAsia" w:ascii="宋体" w:hAnsi="宋体" w:cs="宋体"/>
          <w:sz w:val="24"/>
          <w:lang w:eastAsia="zh-CN"/>
        </w:rPr>
        <w:t>所必需的</w:t>
      </w:r>
      <w:r>
        <w:rPr>
          <w:rFonts w:hint="eastAsia" w:ascii="宋体" w:hAnsi="宋体" w:cs="宋体"/>
          <w:sz w:val="24"/>
        </w:rPr>
        <w:t>设备和专业技术能力；</w:t>
      </w:r>
    </w:p>
    <w:p w14:paraId="5A3DE653">
      <w:pPr>
        <w:snapToGrid w:val="0"/>
        <w:spacing w:line="480" w:lineRule="exact"/>
        <w:ind w:firstLine="480" w:firstLineChars="200"/>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4</w:t>
      </w:r>
      <w:r>
        <w:rPr>
          <w:rFonts w:hint="eastAsia" w:ascii="宋体" w:hAnsi="宋体" w:cs="宋体"/>
          <w:sz w:val="24"/>
          <w:lang w:eastAsia="zh-CN"/>
        </w:rPr>
        <w:t>）</w:t>
      </w:r>
      <w:r>
        <w:rPr>
          <w:rFonts w:hint="eastAsia" w:ascii="宋体" w:hAnsi="宋体" w:cs="宋体"/>
          <w:sz w:val="24"/>
        </w:rPr>
        <w:t>有依法缴纳税收和社会保障资金的良好记录；</w:t>
      </w:r>
    </w:p>
    <w:p w14:paraId="7C07AAA5">
      <w:pPr>
        <w:snapToGrid w:val="0"/>
        <w:spacing w:line="480" w:lineRule="exact"/>
        <w:ind w:firstLine="480" w:firstLineChars="200"/>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5</w:t>
      </w:r>
      <w:r>
        <w:rPr>
          <w:rFonts w:hint="eastAsia" w:ascii="宋体" w:hAnsi="宋体" w:cs="宋体"/>
          <w:sz w:val="24"/>
          <w:lang w:eastAsia="zh-CN"/>
        </w:rPr>
        <w:t>）</w:t>
      </w:r>
      <w:r>
        <w:rPr>
          <w:rFonts w:hint="eastAsia" w:ascii="宋体" w:hAnsi="宋体" w:cs="宋体"/>
          <w:sz w:val="24"/>
        </w:rPr>
        <w:t>参加采购活动近三年内，在经营活动中没有重大违法记录；</w:t>
      </w:r>
    </w:p>
    <w:p w14:paraId="0F24DA43">
      <w:pPr>
        <w:snapToGrid w:val="0"/>
        <w:spacing w:line="480" w:lineRule="exact"/>
        <w:ind w:firstLine="480" w:firstLineChars="200"/>
        <w:rPr>
          <w:rFonts w:hint="eastAsia" w:ascii="宋体" w:hAnsi="宋体" w:eastAsia="宋体" w:cs="宋体"/>
          <w:sz w:val="24"/>
          <w:lang w:eastAsia="zh-CN"/>
        </w:rPr>
      </w:pPr>
      <w:r>
        <w:rPr>
          <w:rFonts w:hint="eastAsia" w:ascii="宋体" w:hAnsi="宋体" w:cs="宋体"/>
          <w:sz w:val="24"/>
          <w:lang w:eastAsia="zh-CN"/>
        </w:rPr>
        <w:t>（</w:t>
      </w:r>
      <w:r>
        <w:rPr>
          <w:rFonts w:hint="eastAsia" w:ascii="宋体" w:hAnsi="宋体" w:cs="宋体"/>
          <w:sz w:val="24"/>
          <w:lang w:val="en-US" w:eastAsia="zh-CN"/>
        </w:rPr>
        <w:t>6</w:t>
      </w:r>
      <w:r>
        <w:rPr>
          <w:rFonts w:hint="eastAsia" w:ascii="宋体" w:hAnsi="宋体" w:cs="宋体"/>
          <w:sz w:val="24"/>
          <w:lang w:eastAsia="zh-CN"/>
        </w:rPr>
        <w:t>）参加采购活动前一年内，未被住建、消防救援机构等主管部门进行金额处罚的</w:t>
      </w:r>
    </w:p>
    <w:p w14:paraId="15C2FF3E">
      <w:pPr>
        <w:snapToGrid w:val="0"/>
        <w:spacing w:line="480" w:lineRule="exact"/>
        <w:ind w:firstLine="480" w:firstLineChars="200"/>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7</w:t>
      </w:r>
      <w:r>
        <w:rPr>
          <w:rFonts w:hint="eastAsia" w:ascii="宋体" w:hAnsi="宋体" w:cs="宋体"/>
          <w:sz w:val="24"/>
          <w:lang w:eastAsia="zh-CN"/>
        </w:rPr>
        <w:t>）</w:t>
      </w:r>
      <w:r>
        <w:rPr>
          <w:rFonts w:hint="eastAsia" w:ascii="宋体" w:hAnsi="宋体" w:cs="宋体"/>
          <w:sz w:val="24"/>
        </w:rPr>
        <w:t>法律、行政法规规定的其他条件。</w:t>
      </w:r>
    </w:p>
    <w:p w14:paraId="5B2A39EA">
      <w:pPr>
        <w:spacing w:line="480" w:lineRule="exact"/>
        <w:ind w:firstLine="482" w:firstLineChars="200"/>
        <w:rPr>
          <w:rFonts w:ascii="宋体" w:hAnsi="宋体" w:cs="宋体"/>
          <w:sz w:val="24"/>
        </w:rPr>
      </w:pPr>
      <w:r>
        <w:rPr>
          <w:rFonts w:hint="eastAsia" w:ascii="宋体" w:hAnsi="宋体" w:cs="宋体"/>
          <w:b/>
          <w:sz w:val="24"/>
          <w:lang w:val="en-US" w:eastAsia="zh-CN"/>
        </w:rPr>
        <w:t>2.</w:t>
      </w:r>
      <w:r>
        <w:rPr>
          <w:rFonts w:hint="eastAsia" w:ascii="宋体" w:hAnsi="宋体" w:cs="宋体"/>
          <w:b/>
          <w:sz w:val="24"/>
        </w:rPr>
        <w:t>本项目的特定资格要求：</w:t>
      </w:r>
      <w:r>
        <w:rPr>
          <w:rFonts w:hint="eastAsia" w:ascii="宋体" w:hAnsi="宋体" w:cs="宋体"/>
          <w:b w:val="0"/>
          <w:bCs/>
          <w:sz w:val="24"/>
        </w:rPr>
        <w:t>无。</w:t>
      </w:r>
    </w:p>
    <w:p w14:paraId="517C7A44">
      <w:pPr>
        <w:snapToGrid w:val="0"/>
        <w:spacing w:line="480" w:lineRule="exact"/>
        <w:ind w:firstLine="482" w:firstLineChars="200"/>
        <w:rPr>
          <w:rFonts w:hint="eastAsia" w:ascii="宋体" w:hAnsi="宋体" w:cs="宋体"/>
          <w:b/>
          <w:sz w:val="24"/>
        </w:rPr>
      </w:pPr>
      <w:r>
        <w:rPr>
          <w:rFonts w:hint="eastAsia" w:ascii="宋体" w:hAnsi="宋体" w:cs="宋体"/>
          <w:b/>
          <w:sz w:val="24"/>
          <w:lang w:val="en-US" w:eastAsia="zh-CN"/>
        </w:rPr>
        <w:t>3.</w:t>
      </w:r>
      <w:r>
        <w:rPr>
          <w:rFonts w:hint="eastAsia" w:ascii="宋体" w:hAnsi="宋体" w:cs="宋体"/>
          <w:b/>
          <w:sz w:val="24"/>
        </w:rPr>
        <w:t>本项目其他资格要求：</w:t>
      </w:r>
    </w:p>
    <w:p w14:paraId="2C7C0945">
      <w:pPr>
        <w:snapToGrid w:val="0"/>
        <w:spacing w:line="480" w:lineRule="exact"/>
        <w:ind w:firstLine="480" w:firstLineChars="200"/>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1</w:t>
      </w:r>
      <w:r>
        <w:rPr>
          <w:rFonts w:hint="eastAsia" w:ascii="宋体" w:hAnsi="宋体" w:cs="宋体"/>
          <w:sz w:val="24"/>
          <w:lang w:eastAsia="zh-CN"/>
        </w:rPr>
        <w:t>）</w:t>
      </w:r>
      <w:r>
        <w:rPr>
          <w:rFonts w:hint="eastAsia" w:ascii="宋体" w:hAnsi="宋体" w:cs="宋体"/>
          <w:sz w:val="24"/>
        </w:rPr>
        <w:t>未被“信用中国”网站、中国政府采购网、国家企业信用信息公示系统列为失信被执行人名单、重大税收违法案件当事人名单、政府采购严重违法失信行为记录名单、经营异常名录、严重违法失信企业名单；</w:t>
      </w:r>
    </w:p>
    <w:p w14:paraId="050AE6BA">
      <w:pPr>
        <w:snapToGrid w:val="0"/>
        <w:spacing w:line="480" w:lineRule="exact"/>
        <w:ind w:firstLine="480" w:firstLineChars="200"/>
        <w:rPr>
          <w:rFonts w:hint="eastAsia" w:ascii="宋体" w:hAnsi="宋体" w:cs="宋体"/>
          <w:sz w:val="24"/>
          <w:lang w:eastAsia="zh-CN"/>
        </w:rPr>
      </w:pP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lang w:eastAsia="zh-CN"/>
        </w:rPr>
        <w:t>）</w:t>
      </w:r>
      <w:r>
        <w:rPr>
          <w:rFonts w:hint="eastAsia" w:ascii="宋体" w:hAnsi="宋体" w:cs="宋体"/>
          <w:sz w:val="24"/>
        </w:rPr>
        <w:t>法定代表人为同一个人的两个及两个以上法人，母公司、全资子公司及其控股公司，都不得在同一采购项目相同标段中同时参加投标，一经发现，将视同围标处理</w:t>
      </w:r>
      <w:r>
        <w:rPr>
          <w:rFonts w:hint="eastAsia" w:ascii="宋体" w:hAnsi="宋体" w:cs="宋体"/>
          <w:sz w:val="24"/>
          <w:lang w:eastAsia="zh-CN"/>
        </w:rPr>
        <w:t>；</w:t>
      </w:r>
    </w:p>
    <w:p w14:paraId="66B2ED4A">
      <w:pPr>
        <w:spacing w:line="480" w:lineRule="exact"/>
        <w:ind w:firstLine="480" w:firstLineChars="200"/>
        <w:rPr>
          <w:rFonts w:hint="eastAsia" w:ascii="宋体" w:hAnsi="宋体" w:cs="宋体"/>
          <w:sz w:val="24"/>
          <w:lang w:eastAsia="zh-CN"/>
        </w:rPr>
      </w:pPr>
      <w:r>
        <w:rPr>
          <w:rFonts w:hint="eastAsia" w:ascii="宋体" w:hAnsi="宋体" w:cs="宋体"/>
          <w:sz w:val="24"/>
          <w:lang w:eastAsia="zh-CN"/>
        </w:rPr>
        <w:t>（</w:t>
      </w:r>
      <w:r>
        <w:rPr>
          <w:rFonts w:hint="eastAsia" w:ascii="宋体" w:hAnsi="宋体" w:cs="宋体"/>
          <w:sz w:val="24"/>
          <w:lang w:val="en-US" w:eastAsia="zh-CN"/>
        </w:rPr>
        <w:t>3</w:t>
      </w:r>
      <w:r>
        <w:rPr>
          <w:rFonts w:hint="eastAsia" w:ascii="宋体" w:hAnsi="宋体" w:cs="宋体"/>
          <w:sz w:val="24"/>
          <w:lang w:eastAsia="zh-CN"/>
        </w:rPr>
        <w:t>）供应商符合国家规定的消防技术服务机构的从业条件，供应商在社会消防技术服务信息系统（https://shhxf.119.gov.cn/templet/index_7.jsp）中本单位基本信息已满足要求（单位类型为消防设施维护保养检测）的截图证明；</w:t>
      </w:r>
    </w:p>
    <w:p w14:paraId="544C139F">
      <w:pPr>
        <w:spacing w:line="480" w:lineRule="exact"/>
        <w:ind w:firstLine="480" w:firstLineChars="200"/>
        <w:rPr>
          <w:rFonts w:hint="eastAsia" w:ascii="宋体" w:hAnsi="宋体" w:cs="宋体"/>
          <w:sz w:val="24"/>
          <w:lang w:eastAsia="zh-CN"/>
        </w:rPr>
      </w:pPr>
      <w:r>
        <w:rPr>
          <w:rFonts w:hint="eastAsia" w:ascii="宋体" w:hAnsi="宋体" w:cs="宋体"/>
          <w:sz w:val="24"/>
          <w:lang w:eastAsia="zh-CN"/>
        </w:rPr>
        <w:t>（</w:t>
      </w:r>
      <w:r>
        <w:rPr>
          <w:rFonts w:hint="eastAsia" w:ascii="宋体" w:hAnsi="宋体" w:cs="宋体"/>
          <w:sz w:val="24"/>
          <w:lang w:val="en-US" w:eastAsia="zh-CN"/>
        </w:rPr>
        <w:t>4</w:t>
      </w:r>
      <w:r>
        <w:rPr>
          <w:rFonts w:hint="eastAsia" w:ascii="宋体" w:hAnsi="宋体" w:cs="宋体"/>
          <w:sz w:val="24"/>
          <w:lang w:eastAsia="zh-CN"/>
        </w:rPr>
        <w:t>）拟派项目负责人具备注册消防工程师资格；</w:t>
      </w:r>
    </w:p>
    <w:p w14:paraId="0E7E8064">
      <w:pPr>
        <w:spacing w:line="480" w:lineRule="exact"/>
        <w:ind w:firstLine="480" w:firstLineChars="200"/>
        <w:rPr>
          <w:rFonts w:hint="eastAsia" w:ascii="宋体" w:hAnsi="宋体" w:cs="宋体"/>
          <w:sz w:val="24"/>
          <w:lang w:eastAsia="zh-CN"/>
        </w:rPr>
      </w:pPr>
      <w:r>
        <w:rPr>
          <w:rFonts w:hint="eastAsia" w:ascii="宋体" w:hAnsi="宋体" w:cs="宋体"/>
          <w:sz w:val="24"/>
          <w:lang w:eastAsia="zh-CN"/>
        </w:rPr>
        <w:t>（</w:t>
      </w:r>
      <w:r>
        <w:rPr>
          <w:rFonts w:hint="eastAsia" w:ascii="宋体" w:hAnsi="宋体" w:cs="宋体"/>
          <w:sz w:val="24"/>
          <w:lang w:val="en-US" w:eastAsia="zh-CN"/>
        </w:rPr>
        <w:t>5</w:t>
      </w:r>
      <w:r>
        <w:rPr>
          <w:rFonts w:hint="eastAsia" w:ascii="宋体" w:hAnsi="宋体" w:cs="宋体"/>
          <w:sz w:val="24"/>
          <w:lang w:eastAsia="zh-CN"/>
        </w:rPr>
        <w:t>）采购人拒绝挂靠单位参与本项目的投标，在项目实施过程中，采购人如发现系无资质的单位或个人挂靠的，可立即无责任终止合同，没收履约保证金，清退其出场，已完工程量不予结算；对采购人造成的损失，由供应商加倍赔偿。</w:t>
      </w:r>
    </w:p>
    <w:p w14:paraId="35B706EC">
      <w:pPr>
        <w:spacing w:line="480" w:lineRule="exact"/>
        <w:rPr>
          <w:rFonts w:hint="eastAsia" w:ascii="宋体" w:hAnsi="宋体" w:cs="宋体"/>
          <w:b/>
          <w:sz w:val="24"/>
        </w:rPr>
      </w:pPr>
      <w:r>
        <w:rPr>
          <w:rFonts w:hint="eastAsia" w:ascii="宋体" w:hAnsi="宋体" w:cs="宋体"/>
          <w:b/>
          <w:sz w:val="24"/>
        </w:rPr>
        <w:t>三、获取采购文件</w:t>
      </w:r>
    </w:p>
    <w:p w14:paraId="1841378D">
      <w:pPr>
        <w:spacing w:line="480" w:lineRule="exact"/>
        <w:ind w:firstLine="480" w:firstLineChars="200"/>
        <w:rPr>
          <w:rFonts w:hint="eastAsia" w:ascii="宋体" w:hAnsi="宋体" w:cs="宋体"/>
          <w:sz w:val="24"/>
          <w:highlight w:val="none"/>
        </w:rPr>
      </w:pPr>
      <w:r>
        <w:rPr>
          <w:rFonts w:hint="eastAsia" w:ascii="宋体" w:hAnsi="宋体" w:cs="宋体"/>
          <w:sz w:val="24"/>
          <w:highlight w:val="none"/>
        </w:rPr>
        <w:t>1.时间：自采购文件公告发布之日起5个工作日。</w:t>
      </w:r>
    </w:p>
    <w:p w14:paraId="2F5E9E5B">
      <w:pPr>
        <w:spacing w:line="480" w:lineRule="exact"/>
        <w:ind w:firstLine="480" w:firstLineChars="200"/>
        <w:rPr>
          <w:rFonts w:hint="eastAsia" w:ascii="宋体" w:hAnsi="宋体" w:cs="宋体"/>
          <w:sz w:val="24"/>
        </w:rPr>
      </w:pPr>
      <w:r>
        <w:rPr>
          <w:rFonts w:hint="eastAsia" w:ascii="宋体" w:hAnsi="宋体" w:cs="宋体"/>
          <w:sz w:val="24"/>
          <w:highlight w:val="none"/>
        </w:rPr>
        <w:t>2.</w:t>
      </w:r>
      <w:r>
        <w:rPr>
          <w:rFonts w:hint="eastAsia" w:ascii="宋体" w:hAnsi="宋体" w:cs="宋体"/>
          <w:sz w:val="24"/>
          <w:highlight w:val="none"/>
          <w:lang w:val="en-US" w:eastAsia="zh-CN"/>
        </w:rPr>
        <w:t>地点</w:t>
      </w:r>
      <w:r>
        <w:rPr>
          <w:rFonts w:hint="eastAsia" w:ascii="宋体" w:hAnsi="宋体" w:cs="宋体"/>
          <w:sz w:val="24"/>
          <w:highlight w:val="none"/>
        </w:rPr>
        <w:t>：</w:t>
      </w:r>
      <w:r>
        <w:rPr>
          <w:rFonts w:hint="eastAsia" w:ascii="宋体" w:hAnsi="宋体" w:cs="宋体"/>
          <w:sz w:val="24"/>
        </w:rPr>
        <w:t>南通圆宏控股集团有限公司集团官网－公告公示－招标投标版块。</w:t>
      </w:r>
    </w:p>
    <w:p w14:paraId="596D498F">
      <w:pPr>
        <w:spacing w:line="480" w:lineRule="exact"/>
        <w:ind w:firstLine="480" w:firstLineChars="200"/>
        <w:rPr>
          <w:rFonts w:hint="eastAsia" w:ascii="宋体" w:hAnsi="宋体" w:cs="宋体"/>
          <w:sz w:val="24"/>
          <w:u w:val="single"/>
        </w:rPr>
      </w:pPr>
      <w:r>
        <w:rPr>
          <w:rFonts w:hint="eastAsia" w:ascii="宋体" w:hAnsi="宋体" w:cs="宋体"/>
          <w:sz w:val="24"/>
          <w:lang w:val="en-US" w:eastAsia="zh-CN"/>
        </w:rPr>
        <w:t>3</w:t>
      </w:r>
      <w:r>
        <w:rPr>
          <w:rFonts w:hint="eastAsia" w:ascii="宋体" w:hAnsi="宋体" w:cs="宋体"/>
          <w:sz w:val="24"/>
        </w:rPr>
        <w:t>.方式：自行免费下载采购文件。</w:t>
      </w:r>
    </w:p>
    <w:p w14:paraId="4BD44C68">
      <w:pPr>
        <w:spacing w:line="480" w:lineRule="exact"/>
        <w:rPr>
          <w:rFonts w:hint="eastAsia" w:ascii="宋体" w:hAnsi="宋体" w:cs="宋体"/>
          <w:b/>
          <w:sz w:val="24"/>
        </w:rPr>
      </w:pPr>
      <w:r>
        <w:rPr>
          <w:rFonts w:hint="eastAsia" w:ascii="宋体" w:hAnsi="宋体" w:cs="宋体"/>
          <w:b/>
          <w:sz w:val="24"/>
        </w:rPr>
        <w:t>四、响应文件提交</w:t>
      </w:r>
    </w:p>
    <w:p w14:paraId="466F8905">
      <w:pPr>
        <w:spacing w:line="480" w:lineRule="exact"/>
        <w:ind w:firstLine="480" w:firstLineChars="200"/>
        <w:rPr>
          <w:rFonts w:hint="eastAsia" w:ascii="宋体" w:hAnsi="宋体" w:cs="宋体"/>
          <w:sz w:val="24"/>
          <w:u w:val="single"/>
        </w:rPr>
      </w:pPr>
      <w:r>
        <w:rPr>
          <w:rFonts w:hint="eastAsia" w:ascii="宋体" w:hAnsi="宋体" w:cs="宋体"/>
          <w:sz w:val="24"/>
        </w:rPr>
        <w:t>1.截止时间：</w:t>
      </w:r>
      <w:r>
        <w:rPr>
          <w:rFonts w:hint="eastAsia" w:ascii="宋体" w:hAnsi="宋体" w:cs="宋体"/>
          <w:sz w:val="24"/>
          <w:u w:val="single"/>
        </w:rPr>
        <w:t>202</w:t>
      </w:r>
      <w:r>
        <w:rPr>
          <w:rFonts w:hint="eastAsia" w:ascii="宋体" w:hAnsi="宋体" w:cs="宋体"/>
          <w:sz w:val="24"/>
          <w:u w:val="single"/>
          <w:lang w:val="en-US" w:eastAsia="zh-CN"/>
        </w:rPr>
        <w:t>6</w:t>
      </w:r>
      <w:r>
        <w:rPr>
          <w:rFonts w:hint="eastAsia" w:ascii="宋体" w:hAnsi="宋体" w:cs="宋体"/>
          <w:sz w:val="24"/>
          <w:u w:val="single"/>
        </w:rPr>
        <w:t>年</w:t>
      </w:r>
      <w:r>
        <w:rPr>
          <w:rFonts w:hint="eastAsia" w:ascii="宋体" w:hAnsi="宋体" w:cs="宋体"/>
          <w:sz w:val="24"/>
          <w:u w:val="single"/>
          <w:lang w:val="en-US" w:eastAsia="zh-CN"/>
        </w:rPr>
        <w:t>7</w:t>
      </w:r>
      <w:r>
        <w:rPr>
          <w:rFonts w:hint="eastAsia" w:ascii="宋体" w:hAnsi="宋体" w:cs="宋体"/>
          <w:sz w:val="24"/>
          <w:u w:val="single"/>
        </w:rPr>
        <w:t>月</w:t>
      </w:r>
      <w:r>
        <w:rPr>
          <w:rFonts w:hint="eastAsia" w:ascii="宋体" w:hAnsi="宋体" w:cs="宋体"/>
          <w:sz w:val="24"/>
          <w:u w:val="single"/>
          <w:lang w:val="en-US" w:eastAsia="zh-CN"/>
        </w:rPr>
        <w:t>7</w:t>
      </w:r>
      <w:r>
        <w:rPr>
          <w:rFonts w:hint="eastAsia" w:ascii="宋体" w:hAnsi="宋体" w:cs="宋体"/>
          <w:sz w:val="24"/>
          <w:u w:val="single"/>
        </w:rPr>
        <w:t>日</w:t>
      </w:r>
      <w:r>
        <w:rPr>
          <w:rFonts w:hint="eastAsia" w:ascii="宋体" w:hAnsi="宋体" w:cs="宋体"/>
          <w:sz w:val="24"/>
          <w:u w:val="single"/>
          <w:lang w:val="en-US" w:eastAsia="zh-CN"/>
        </w:rPr>
        <w:t>14</w:t>
      </w:r>
      <w:r>
        <w:rPr>
          <w:rFonts w:hint="eastAsia" w:ascii="宋体" w:hAnsi="宋体" w:cs="宋体"/>
          <w:sz w:val="24"/>
          <w:u w:val="single"/>
        </w:rPr>
        <w:t>时</w:t>
      </w:r>
      <w:r>
        <w:rPr>
          <w:rFonts w:hint="eastAsia" w:ascii="宋体" w:hAnsi="宋体" w:cs="宋体"/>
          <w:sz w:val="24"/>
          <w:u w:val="single"/>
          <w:lang w:val="en-US" w:eastAsia="zh-CN"/>
        </w:rPr>
        <w:t>00</w:t>
      </w:r>
      <w:r>
        <w:rPr>
          <w:rFonts w:hint="eastAsia" w:ascii="宋体" w:hAnsi="宋体" w:cs="宋体"/>
          <w:sz w:val="24"/>
          <w:u w:val="single"/>
        </w:rPr>
        <w:t>分（北京时间）</w:t>
      </w:r>
      <w:r>
        <w:rPr>
          <w:rFonts w:hint="eastAsia" w:ascii="宋体" w:hAnsi="宋体" w:cs="宋体"/>
          <w:sz w:val="24"/>
        </w:rPr>
        <w:t>。</w:t>
      </w:r>
    </w:p>
    <w:p w14:paraId="1E8A9A7D">
      <w:pPr>
        <w:spacing w:line="480" w:lineRule="exact"/>
        <w:ind w:firstLine="480" w:firstLineChars="200"/>
        <w:rPr>
          <w:rFonts w:hint="eastAsia" w:ascii="宋体" w:hAnsi="宋体" w:cs="宋体"/>
          <w:sz w:val="24"/>
          <w:u w:val="single"/>
        </w:rPr>
      </w:pPr>
      <w:r>
        <w:rPr>
          <w:rFonts w:hint="eastAsia" w:ascii="宋体" w:hAnsi="宋体" w:cs="宋体"/>
          <w:sz w:val="24"/>
        </w:rPr>
        <w:t>2.地点：</w:t>
      </w:r>
      <w:r>
        <w:rPr>
          <w:rFonts w:hint="eastAsia" w:ascii="宋体" w:hAnsi="宋体" w:cs="宋体"/>
          <w:sz w:val="24"/>
          <w:u w:val="single"/>
        </w:rPr>
        <w:t>南通市通州区金霞路555号江海圆融汇1号楼8层开标室</w:t>
      </w:r>
      <w:r>
        <w:rPr>
          <w:rFonts w:hint="eastAsia" w:ascii="宋体" w:hAnsi="宋体" w:cs="宋体"/>
          <w:sz w:val="24"/>
        </w:rPr>
        <w:t>。</w:t>
      </w:r>
    </w:p>
    <w:p w14:paraId="3F5F4C1D">
      <w:pPr>
        <w:spacing w:line="480" w:lineRule="exact"/>
        <w:rPr>
          <w:rFonts w:hint="eastAsia" w:ascii="宋体" w:hAnsi="宋体" w:cs="宋体"/>
          <w:b/>
          <w:sz w:val="24"/>
        </w:rPr>
      </w:pPr>
      <w:r>
        <w:rPr>
          <w:rFonts w:hint="eastAsia" w:ascii="宋体" w:hAnsi="宋体" w:cs="宋体"/>
          <w:b/>
          <w:sz w:val="24"/>
        </w:rPr>
        <w:t>五、开启</w:t>
      </w:r>
    </w:p>
    <w:p w14:paraId="7CBB2E2F">
      <w:pPr>
        <w:spacing w:line="480" w:lineRule="exact"/>
        <w:ind w:firstLine="480" w:firstLineChars="200"/>
        <w:rPr>
          <w:rFonts w:hint="eastAsia" w:ascii="宋体" w:hAnsi="宋体" w:cs="宋体"/>
          <w:sz w:val="24"/>
        </w:rPr>
      </w:pPr>
      <w:r>
        <w:rPr>
          <w:rFonts w:hint="eastAsia" w:ascii="宋体" w:hAnsi="宋体" w:cs="宋体"/>
          <w:sz w:val="24"/>
        </w:rPr>
        <w:t>1.时间：</w:t>
      </w:r>
      <w:r>
        <w:rPr>
          <w:rFonts w:hint="eastAsia" w:ascii="宋体" w:hAnsi="宋体" w:cs="宋体"/>
          <w:sz w:val="24"/>
          <w:u w:val="single"/>
        </w:rPr>
        <w:t>202</w:t>
      </w:r>
      <w:r>
        <w:rPr>
          <w:rFonts w:hint="eastAsia" w:ascii="宋体" w:hAnsi="宋体" w:cs="宋体"/>
          <w:sz w:val="24"/>
          <w:u w:val="single"/>
          <w:lang w:val="en-US" w:eastAsia="zh-CN"/>
        </w:rPr>
        <w:t>6</w:t>
      </w:r>
      <w:r>
        <w:rPr>
          <w:rFonts w:hint="eastAsia" w:ascii="宋体" w:hAnsi="宋体" w:cs="宋体"/>
          <w:sz w:val="24"/>
          <w:u w:val="single"/>
        </w:rPr>
        <w:t>年</w:t>
      </w:r>
      <w:r>
        <w:rPr>
          <w:rFonts w:hint="eastAsia" w:ascii="宋体" w:hAnsi="宋体" w:cs="宋体"/>
          <w:sz w:val="24"/>
          <w:u w:val="single"/>
          <w:lang w:val="en-US" w:eastAsia="zh-CN"/>
        </w:rPr>
        <w:t>7</w:t>
      </w:r>
      <w:r>
        <w:rPr>
          <w:rFonts w:hint="eastAsia" w:ascii="宋体" w:hAnsi="宋体" w:cs="宋体"/>
          <w:sz w:val="24"/>
          <w:u w:val="single"/>
        </w:rPr>
        <w:t>月</w:t>
      </w:r>
      <w:r>
        <w:rPr>
          <w:rFonts w:hint="eastAsia" w:ascii="宋体" w:hAnsi="宋体" w:cs="宋体"/>
          <w:sz w:val="24"/>
          <w:u w:val="single"/>
          <w:lang w:val="en-US" w:eastAsia="zh-CN"/>
        </w:rPr>
        <w:t xml:space="preserve"> 7</w:t>
      </w:r>
      <w:r>
        <w:rPr>
          <w:rFonts w:hint="eastAsia" w:ascii="宋体" w:hAnsi="宋体" w:cs="宋体"/>
          <w:sz w:val="24"/>
          <w:u w:val="single"/>
        </w:rPr>
        <w:t>日</w:t>
      </w:r>
      <w:r>
        <w:rPr>
          <w:rFonts w:hint="eastAsia" w:ascii="宋体" w:hAnsi="宋体" w:cs="宋体"/>
          <w:sz w:val="24"/>
          <w:u w:val="single"/>
          <w:lang w:val="en-US" w:eastAsia="zh-CN"/>
        </w:rPr>
        <w:t>14</w:t>
      </w:r>
      <w:r>
        <w:rPr>
          <w:rFonts w:hint="eastAsia" w:ascii="宋体" w:hAnsi="宋体" w:cs="宋体"/>
          <w:sz w:val="24"/>
          <w:u w:val="single"/>
        </w:rPr>
        <w:t>时</w:t>
      </w:r>
      <w:r>
        <w:rPr>
          <w:rFonts w:hint="eastAsia" w:ascii="宋体" w:hAnsi="宋体" w:cs="宋体"/>
          <w:sz w:val="24"/>
          <w:u w:val="single"/>
          <w:lang w:val="en-US" w:eastAsia="zh-CN"/>
        </w:rPr>
        <w:t>00</w:t>
      </w:r>
      <w:r>
        <w:rPr>
          <w:rFonts w:hint="eastAsia" w:ascii="宋体" w:hAnsi="宋体" w:cs="宋体"/>
          <w:sz w:val="24"/>
          <w:u w:val="single"/>
        </w:rPr>
        <w:t>分（北京时间）</w:t>
      </w:r>
      <w:r>
        <w:rPr>
          <w:rFonts w:hint="eastAsia" w:ascii="宋体" w:hAnsi="宋体" w:cs="宋体"/>
          <w:sz w:val="24"/>
        </w:rPr>
        <w:t>。</w:t>
      </w:r>
    </w:p>
    <w:p w14:paraId="2ED9B71B">
      <w:pPr>
        <w:spacing w:line="480" w:lineRule="exact"/>
        <w:ind w:firstLine="480" w:firstLineChars="200"/>
        <w:rPr>
          <w:rFonts w:hint="eastAsia" w:ascii="宋体" w:hAnsi="宋体" w:cs="宋体"/>
          <w:sz w:val="24"/>
        </w:rPr>
      </w:pPr>
      <w:r>
        <w:rPr>
          <w:rFonts w:hint="eastAsia" w:ascii="宋体" w:hAnsi="宋体" w:cs="宋体"/>
          <w:sz w:val="24"/>
        </w:rPr>
        <w:t>2.地点：</w:t>
      </w:r>
      <w:r>
        <w:rPr>
          <w:rFonts w:hint="eastAsia" w:ascii="宋体" w:hAnsi="宋体" w:cs="宋体"/>
          <w:sz w:val="24"/>
          <w:u w:val="single"/>
        </w:rPr>
        <w:t>南通市通州区金霞路555号江海圆融汇1号楼8层开标室</w:t>
      </w:r>
      <w:r>
        <w:rPr>
          <w:rFonts w:hint="eastAsia" w:ascii="宋体" w:hAnsi="宋体" w:cs="宋体"/>
          <w:sz w:val="24"/>
        </w:rPr>
        <w:t>。</w:t>
      </w:r>
    </w:p>
    <w:p w14:paraId="30E9A5F5">
      <w:pPr>
        <w:spacing w:line="480" w:lineRule="exact"/>
        <w:rPr>
          <w:rFonts w:hint="eastAsia" w:ascii="宋体" w:hAnsi="宋体" w:cs="宋体"/>
          <w:b/>
          <w:sz w:val="24"/>
          <w:highlight w:val="none"/>
        </w:rPr>
      </w:pPr>
      <w:r>
        <w:rPr>
          <w:rFonts w:hint="eastAsia" w:ascii="宋体" w:hAnsi="宋体" w:cs="宋体"/>
          <w:b/>
          <w:sz w:val="24"/>
          <w:highlight w:val="none"/>
        </w:rPr>
        <w:t>六、公告期限</w:t>
      </w:r>
    </w:p>
    <w:p w14:paraId="35ED1AC3">
      <w:pPr>
        <w:spacing w:line="480" w:lineRule="exact"/>
        <w:ind w:firstLine="480" w:firstLineChars="200"/>
        <w:rPr>
          <w:rFonts w:hint="eastAsia" w:ascii="宋体" w:hAnsi="宋体" w:cs="宋体"/>
          <w:kern w:val="0"/>
          <w:sz w:val="24"/>
          <w:highlight w:val="none"/>
        </w:rPr>
      </w:pPr>
      <w:r>
        <w:rPr>
          <w:rFonts w:hint="eastAsia" w:ascii="宋体" w:hAnsi="宋体" w:cs="宋体"/>
          <w:kern w:val="0"/>
          <w:sz w:val="24"/>
          <w:highlight w:val="none"/>
        </w:rPr>
        <w:t>磋商公告期限为自本公告发布之日起3个工作日。</w:t>
      </w:r>
    </w:p>
    <w:p w14:paraId="523A1E28">
      <w:pPr>
        <w:spacing w:line="480" w:lineRule="exact"/>
        <w:rPr>
          <w:rFonts w:hint="eastAsia" w:ascii="宋体" w:hAnsi="宋体" w:cs="宋体"/>
          <w:b/>
          <w:sz w:val="24"/>
        </w:rPr>
      </w:pPr>
      <w:r>
        <w:rPr>
          <w:rFonts w:hint="eastAsia" w:ascii="宋体" w:hAnsi="宋体" w:cs="宋体"/>
          <w:b/>
          <w:sz w:val="24"/>
        </w:rPr>
        <w:t>七、本次竞争性磋商联系方式</w:t>
      </w:r>
    </w:p>
    <w:p w14:paraId="4D9FB17C">
      <w:pPr>
        <w:keepNext w:val="0"/>
        <w:keepLines w:val="0"/>
        <w:pageBreakBefore w:val="0"/>
        <w:kinsoku/>
        <w:wordWrap/>
        <w:overflowPunct/>
        <w:topLinePunct w:val="0"/>
        <w:autoSpaceDE/>
        <w:autoSpaceDN/>
        <w:bidi w:val="0"/>
        <w:adjustRightInd/>
        <w:snapToGrid w:val="0"/>
        <w:spacing w:line="480" w:lineRule="exact"/>
        <w:ind w:left="0" w:leftChars="0" w:firstLine="480" w:firstLineChars="200"/>
        <w:contextualSpacing/>
        <w:textAlignment w:val="auto"/>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采购人：</w:t>
      </w:r>
      <w:r>
        <w:rPr>
          <w:rFonts w:hint="eastAsia" w:ascii="宋体" w:hAnsi="宋体" w:eastAsia="宋体" w:cs="宋体"/>
          <w:color w:val="000000"/>
          <w:sz w:val="24"/>
          <w:highlight w:val="none"/>
          <w:lang w:eastAsia="zh-CN"/>
        </w:rPr>
        <w:t>南通中宏产业投资集团有限公司</w:t>
      </w:r>
    </w:p>
    <w:p w14:paraId="54D75422">
      <w:pPr>
        <w:keepNext w:val="0"/>
        <w:keepLines w:val="0"/>
        <w:pageBreakBefore w:val="0"/>
        <w:kinsoku/>
        <w:wordWrap/>
        <w:overflowPunct/>
        <w:topLinePunct w:val="0"/>
        <w:autoSpaceDE/>
        <w:autoSpaceDN/>
        <w:bidi w:val="0"/>
        <w:adjustRightInd/>
        <w:snapToGrid w:val="0"/>
        <w:spacing w:line="480" w:lineRule="exact"/>
        <w:ind w:left="0" w:leftChars="0" w:firstLine="480" w:firstLineChars="200"/>
        <w:contextualSpacing/>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地址：通州区金霞路555号江海圆融汇1#</w:t>
      </w:r>
      <w:r>
        <w:rPr>
          <w:rFonts w:hint="eastAsia" w:ascii="宋体" w:hAnsi="宋体" w:eastAsia="宋体" w:cs="宋体"/>
          <w:color w:val="000000"/>
          <w:sz w:val="24"/>
          <w:highlight w:val="none"/>
          <w:lang w:val="en-US" w:eastAsia="zh-CN"/>
        </w:rPr>
        <w:t>8</w:t>
      </w:r>
      <w:r>
        <w:rPr>
          <w:rFonts w:hint="eastAsia" w:ascii="宋体" w:hAnsi="宋体" w:eastAsia="宋体" w:cs="宋体"/>
          <w:color w:val="000000"/>
          <w:sz w:val="24"/>
          <w:highlight w:val="none"/>
        </w:rPr>
        <w:t>层</w:t>
      </w:r>
    </w:p>
    <w:p w14:paraId="7940314F">
      <w:pPr>
        <w:keepNext w:val="0"/>
        <w:keepLines w:val="0"/>
        <w:pageBreakBefore w:val="0"/>
        <w:kinsoku/>
        <w:wordWrap/>
        <w:overflowPunct/>
        <w:topLinePunct w:val="0"/>
        <w:autoSpaceDE/>
        <w:autoSpaceDN/>
        <w:bidi w:val="0"/>
        <w:adjustRightInd/>
        <w:snapToGrid w:val="0"/>
        <w:spacing w:line="480" w:lineRule="exact"/>
        <w:ind w:left="0" w:leftChars="0" w:firstLine="480" w:firstLineChars="200"/>
        <w:contextualSpacing/>
        <w:textAlignment w:val="auto"/>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rPr>
        <w:t>联系人：</w:t>
      </w:r>
      <w:r>
        <w:rPr>
          <w:rFonts w:hint="eastAsia" w:ascii="宋体" w:hAnsi="宋体" w:eastAsia="宋体" w:cs="宋体"/>
          <w:color w:val="000000"/>
          <w:sz w:val="24"/>
          <w:highlight w:val="none"/>
          <w:lang w:val="en-US" w:eastAsia="zh-CN"/>
        </w:rPr>
        <w:t>李先生</w:t>
      </w:r>
    </w:p>
    <w:p w14:paraId="597F2509">
      <w:pPr>
        <w:keepNext w:val="0"/>
        <w:keepLines w:val="0"/>
        <w:pageBreakBefore w:val="0"/>
        <w:kinsoku/>
        <w:wordWrap/>
        <w:overflowPunct/>
        <w:topLinePunct w:val="0"/>
        <w:autoSpaceDE/>
        <w:autoSpaceDN/>
        <w:bidi w:val="0"/>
        <w:adjustRightInd/>
        <w:snapToGrid w:val="0"/>
        <w:spacing w:line="480" w:lineRule="exact"/>
        <w:ind w:left="0" w:leftChars="0" w:firstLine="480" w:firstLineChars="200"/>
        <w:contextualSpacing/>
        <w:textAlignment w:val="auto"/>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rPr>
        <w:t>电话：</w:t>
      </w:r>
      <w:r>
        <w:rPr>
          <w:rFonts w:hint="eastAsia" w:ascii="宋体" w:hAnsi="宋体" w:eastAsia="宋体" w:cs="宋体"/>
          <w:sz w:val="24"/>
          <w:szCs w:val="24"/>
          <w:highlight w:val="none"/>
          <w:lang w:val="en-US" w:eastAsia="zh-CN"/>
        </w:rPr>
        <w:t>0513-86129069</w:t>
      </w:r>
    </w:p>
    <w:p w14:paraId="46993B84">
      <w:pPr>
        <w:keepNext w:val="0"/>
        <w:keepLines w:val="0"/>
        <w:pageBreakBefore w:val="0"/>
        <w:kinsoku/>
        <w:wordWrap/>
        <w:overflowPunct/>
        <w:topLinePunct w:val="0"/>
        <w:autoSpaceDE/>
        <w:autoSpaceDN/>
        <w:bidi w:val="0"/>
        <w:adjustRightInd/>
        <w:snapToGrid w:val="0"/>
        <w:spacing w:line="480" w:lineRule="exact"/>
        <w:ind w:left="0" w:leftChars="0" w:firstLine="480" w:firstLineChars="200"/>
        <w:contextualSpacing/>
        <w:jc w:val="both"/>
        <w:textAlignment w:val="auto"/>
        <w:rPr>
          <w:rFonts w:hint="eastAsia" w:ascii="宋体" w:hAnsi="宋体" w:eastAsia="宋体" w:cs="宋体"/>
          <w:color w:val="000000"/>
          <w:sz w:val="24"/>
          <w:highlight w:val="none"/>
        </w:rPr>
      </w:pPr>
    </w:p>
    <w:p w14:paraId="40E8A57A">
      <w:pPr>
        <w:spacing w:line="480" w:lineRule="exact"/>
        <w:rPr>
          <w:rFonts w:hint="eastAsia" w:ascii="宋体" w:hAnsi="宋体" w:cs="宋体"/>
          <w:b/>
          <w:sz w:val="24"/>
        </w:rPr>
      </w:pPr>
      <w:r>
        <w:rPr>
          <w:rFonts w:hint="eastAsia" w:ascii="宋体" w:hAnsi="宋体" w:cs="宋体"/>
          <w:b/>
          <w:sz w:val="24"/>
        </w:rPr>
        <w:t>八、其他</w:t>
      </w:r>
    </w:p>
    <w:p w14:paraId="4DD2CE44">
      <w:pPr>
        <w:spacing w:line="480" w:lineRule="exact"/>
        <w:ind w:firstLine="480" w:firstLineChars="200"/>
        <w:rPr>
          <w:rFonts w:hint="eastAsia" w:ascii="宋体" w:hAnsi="宋体" w:cs="宋体"/>
          <w:sz w:val="24"/>
        </w:rPr>
      </w:pPr>
      <w:r>
        <w:rPr>
          <w:rFonts w:hint="eastAsia" w:ascii="宋体" w:hAnsi="宋体" w:cs="宋体"/>
          <w:sz w:val="24"/>
        </w:rPr>
        <w:t>1.供应商对竞争性磋商文件项目需求部分的询问、质疑请向采购人提出，由采购人负责答复。</w:t>
      </w:r>
    </w:p>
    <w:p w14:paraId="1CEC5772">
      <w:pPr>
        <w:spacing w:line="480" w:lineRule="exact"/>
        <w:ind w:firstLine="480" w:firstLineChars="200"/>
        <w:rPr>
          <w:rFonts w:hint="eastAsia" w:ascii="宋体" w:hAnsi="宋体" w:cs="宋体"/>
          <w:sz w:val="24"/>
        </w:rPr>
      </w:pPr>
      <w:r>
        <w:rPr>
          <w:rFonts w:hint="eastAsia" w:ascii="宋体" w:hAnsi="宋体" w:cs="宋体"/>
          <w:sz w:val="24"/>
        </w:rPr>
        <w:t>2.磋商响应文件制作份数要求：</w:t>
      </w:r>
    </w:p>
    <w:p w14:paraId="0B7ED352">
      <w:pPr>
        <w:spacing w:line="480" w:lineRule="exact"/>
        <w:ind w:firstLine="480" w:firstLineChars="200"/>
        <w:rPr>
          <w:rFonts w:hint="eastAsia" w:ascii="宋体" w:hAnsi="宋体" w:eastAsia="宋体" w:cs="宋体"/>
          <w:sz w:val="24"/>
          <w:lang w:eastAsia="zh-CN"/>
        </w:rPr>
      </w:pPr>
      <w:r>
        <w:rPr>
          <w:rFonts w:hint="eastAsia" w:ascii="宋体" w:hAnsi="宋体" w:cs="宋体"/>
          <w:sz w:val="24"/>
        </w:rPr>
        <w:t>正本份数：1份</w:t>
      </w:r>
      <w:r>
        <w:rPr>
          <w:rFonts w:hint="eastAsia" w:ascii="宋体" w:hAnsi="宋体" w:cs="宋体"/>
          <w:sz w:val="24"/>
          <w:lang w:eastAsia="zh-CN"/>
        </w:rPr>
        <w:t>，</w:t>
      </w:r>
      <w:r>
        <w:rPr>
          <w:rFonts w:hint="eastAsia" w:ascii="宋体" w:hAnsi="宋体" w:cs="宋体"/>
          <w:sz w:val="24"/>
        </w:rPr>
        <w:t>副本份数：2份</w:t>
      </w:r>
      <w:r>
        <w:rPr>
          <w:rFonts w:hint="eastAsia" w:ascii="宋体" w:hAnsi="宋体" w:cs="宋体"/>
          <w:sz w:val="24"/>
          <w:lang w:eastAsia="zh-CN"/>
        </w:rPr>
        <w:t>。</w:t>
      </w:r>
    </w:p>
    <w:p w14:paraId="2896E684">
      <w:pPr>
        <w:spacing w:line="480" w:lineRule="exact"/>
        <w:ind w:firstLine="480" w:firstLineChars="200"/>
        <w:rPr>
          <w:rFonts w:hint="eastAsia" w:ascii="宋体" w:hAnsi="宋体" w:cs="宋体"/>
          <w:sz w:val="24"/>
        </w:rPr>
      </w:pPr>
      <w:r>
        <w:rPr>
          <w:rFonts w:hint="eastAsia" w:ascii="宋体" w:hAnsi="宋体" w:cs="宋体"/>
          <w:sz w:val="24"/>
        </w:rPr>
        <w:t>3.有关本次磋商采购的事项若存在变动或修改，敬请及时关注更正通知。</w:t>
      </w:r>
    </w:p>
    <w:p w14:paraId="7ED57A17">
      <w:pPr>
        <w:spacing w:line="480" w:lineRule="exact"/>
        <w:ind w:firstLine="480" w:firstLineChars="200"/>
        <w:rPr>
          <w:rFonts w:hint="eastAsia" w:ascii="宋体" w:hAnsi="宋体" w:cs="宋体"/>
          <w:sz w:val="24"/>
        </w:rPr>
      </w:pPr>
      <w:r>
        <w:rPr>
          <w:rFonts w:hint="eastAsia" w:ascii="宋体" w:hAnsi="宋体" w:cs="宋体"/>
          <w:sz w:val="24"/>
        </w:rPr>
        <w:t>4.本次磋商采购不收取磋商保证金。</w:t>
      </w:r>
    </w:p>
    <w:p w14:paraId="0AACBA2B">
      <w:pPr>
        <w:spacing w:line="360" w:lineRule="auto"/>
        <w:ind w:firstLine="480" w:firstLineChars="200"/>
        <w:rPr>
          <w:rFonts w:hint="eastAsia" w:ascii="宋体" w:hAnsi="宋体" w:cs="宋体"/>
          <w:color w:val="FF0000"/>
          <w:sz w:val="24"/>
        </w:rPr>
      </w:pPr>
    </w:p>
    <w:p w14:paraId="1E5DBE94">
      <w:pPr>
        <w:spacing w:line="360" w:lineRule="auto"/>
        <w:rPr>
          <w:rFonts w:hint="eastAsia" w:ascii="宋体" w:hAnsi="宋体" w:cs="宋体"/>
          <w:b/>
          <w:bCs/>
        </w:rPr>
        <w:sectPr>
          <w:footerReference r:id="rId4" w:type="first"/>
          <w:footerReference r:id="rId3" w:type="default"/>
          <w:pgSz w:w="11906" w:h="16838"/>
          <w:pgMar w:top="1418" w:right="1555" w:bottom="1418" w:left="1531" w:header="851" w:footer="992" w:gutter="0"/>
          <w:lnNumType w:countBy="0" w:distance="360"/>
          <w:pgNumType w:start="1"/>
          <w:cols w:space="720" w:num="1"/>
          <w:titlePg/>
          <w:rtlGutter w:val="1"/>
          <w:docGrid w:linePitch="312" w:charSpace="0"/>
        </w:sectPr>
      </w:pPr>
    </w:p>
    <w:p w14:paraId="5ED33F2F">
      <w:pPr>
        <w:pStyle w:val="3"/>
        <w:spacing w:line="360" w:lineRule="auto"/>
        <w:jc w:val="center"/>
        <w:rPr>
          <w:rFonts w:hint="eastAsia" w:ascii="宋体" w:hAnsi="宋体" w:eastAsia="宋体" w:cs="宋体"/>
          <w:b/>
          <w:bCs/>
          <w:sz w:val="32"/>
          <w:szCs w:val="32"/>
        </w:rPr>
      </w:pPr>
      <w:r>
        <w:rPr>
          <w:rFonts w:hint="eastAsia" w:ascii="宋体" w:hAnsi="宋体" w:eastAsia="宋体" w:cs="宋体"/>
          <w:b/>
          <w:bCs/>
          <w:sz w:val="32"/>
          <w:szCs w:val="32"/>
        </w:rPr>
        <w:t>第二章  磋商须知</w:t>
      </w:r>
    </w:p>
    <w:p w14:paraId="09EA3E5D">
      <w:pPr>
        <w:adjustRightInd w:val="0"/>
        <w:snapToGrid w:val="0"/>
        <w:spacing w:line="360" w:lineRule="auto"/>
        <w:jc w:val="center"/>
        <w:rPr>
          <w:rFonts w:hint="eastAsia" w:ascii="宋体" w:hAnsi="宋体" w:cs="宋体"/>
          <w:b/>
          <w:bCs/>
          <w:sz w:val="24"/>
        </w:rPr>
      </w:pPr>
      <w:r>
        <w:rPr>
          <w:rFonts w:hint="eastAsia" w:ascii="宋体" w:hAnsi="宋体" w:cs="宋体"/>
          <w:bCs/>
          <w:sz w:val="24"/>
        </w:rPr>
        <w:t>（参加竞争性磋商的供应商以下简称“磋商供应商”）</w:t>
      </w:r>
    </w:p>
    <w:bookmarkEnd w:id="5"/>
    <w:bookmarkEnd w:id="6"/>
    <w:bookmarkEnd w:id="7"/>
    <w:p w14:paraId="0E89CAFF">
      <w:pPr>
        <w:tabs>
          <w:tab w:val="left" w:pos="900"/>
        </w:tabs>
        <w:adjustRightInd w:val="0"/>
        <w:snapToGrid w:val="0"/>
        <w:spacing w:line="480" w:lineRule="exact"/>
        <w:ind w:firstLine="482" w:firstLineChars="200"/>
        <w:rPr>
          <w:rFonts w:hint="eastAsia" w:ascii="宋体" w:hAnsi="宋体" w:cs="宋体"/>
          <w:b/>
          <w:sz w:val="24"/>
        </w:rPr>
      </w:pPr>
      <w:r>
        <w:rPr>
          <w:rFonts w:hint="eastAsia" w:ascii="宋体" w:hAnsi="宋体" w:cs="宋体"/>
          <w:b/>
          <w:sz w:val="24"/>
        </w:rPr>
        <w:t>一、总则</w:t>
      </w:r>
    </w:p>
    <w:p w14:paraId="2517F5E2">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lang w:eastAsia="zh-CN"/>
        </w:rPr>
        <w:t>1.</w:t>
      </w:r>
      <w:r>
        <w:rPr>
          <w:rFonts w:hint="eastAsia" w:ascii="宋体" w:hAnsi="宋体" w:cs="宋体"/>
          <w:sz w:val="24"/>
        </w:rPr>
        <w:t>适用范围</w:t>
      </w:r>
    </w:p>
    <w:p w14:paraId="5461A711">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1.1本竞争性磋商文件（以下简称磋商文件）仅适</w:t>
      </w:r>
      <w:r>
        <w:rPr>
          <w:rFonts w:hint="eastAsia" w:ascii="宋体" w:hAnsi="宋体" w:cs="宋体"/>
          <w:sz w:val="24"/>
          <w:lang w:eastAsia="zh-CN"/>
        </w:rPr>
        <w:t>用于</w:t>
      </w:r>
      <w:r>
        <w:rPr>
          <w:rFonts w:hint="eastAsia" w:ascii="宋体" w:hAnsi="宋体" w:cs="宋体"/>
          <w:sz w:val="24"/>
        </w:rPr>
        <w:t>此项目。</w:t>
      </w:r>
    </w:p>
    <w:p w14:paraId="60443ABA">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3.1满足本磋商文件“</w:t>
      </w:r>
      <w:r>
        <w:rPr>
          <w:rFonts w:hint="eastAsia" w:ascii="宋体" w:hAnsi="宋体" w:cs="宋体"/>
          <w:sz w:val="24"/>
          <w:lang w:eastAsia="zh-CN"/>
        </w:rPr>
        <w:t>采购公告</w:t>
      </w:r>
      <w:r>
        <w:rPr>
          <w:rFonts w:hint="eastAsia" w:ascii="宋体" w:hAnsi="宋体" w:cs="宋体"/>
          <w:sz w:val="24"/>
        </w:rPr>
        <w:t>”中合格磋商供应商资格要求的规定。</w:t>
      </w:r>
    </w:p>
    <w:p w14:paraId="194F22F9">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3.2满足本磋商文件实质性要求和条件的规定。</w:t>
      </w:r>
    </w:p>
    <w:p w14:paraId="6F0B87AF">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lang w:eastAsia="zh-CN"/>
        </w:rPr>
        <w:t>4.</w:t>
      </w:r>
      <w:r>
        <w:rPr>
          <w:rFonts w:hint="eastAsia" w:ascii="宋体" w:hAnsi="宋体" w:cs="宋体"/>
          <w:sz w:val="24"/>
        </w:rPr>
        <w:t>参加磋商费用</w:t>
      </w:r>
    </w:p>
    <w:p w14:paraId="5760DE42">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4.1参加磋商供应商应自行承担所有与参加磋商有关的费用。</w:t>
      </w:r>
    </w:p>
    <w:p w14:paraId="3A61FF32">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4.2本项目不收取成交服务费。</w:t>
      </w:r>
    </w:p>
    <w:p w14:paraId="11AD49DB">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4.3本项目不收取磋商文件费。</w:t>
      </w:r>
    </w:p>
    <w:p w14:paraId="25C5E652">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lang w:eastAsia="zh-CN"/>
        </w:rPr>
        <w:t>5.</w:t>
      </w:r>
      <w:r>
        <w:rPr>
          <w:rFonts w:hint="eastAsia" w:ascii="宋体" w:hAnsi="宋体" w:cs="宋体"/>
          <w:sz w:val="24"/>
        </w:rPr>
        <w:t>磋商文件的约束力</w:t>
      </w:r>
    </w:p>
    <w:p w14:paraId="4FF4A604">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供应商一旦获取了本磋商文件并决定参加磋商，即被认为接受了本磋商文件的规定和约束，并且视为自收到磋商文件之日或者磋商文件公告期限届满之日起已经知道或应当知道自身权益是否受到了损害。</w:t>
      </w:r>
    </w:p>
    <w:p w14:paraId="70465D79">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lang w:eastAsia="zh-CN"/>
        </w:rPr>
        <w:t>6.</w:t>
      </w:r>
      <w:bookmarkStart w:id="9" w:name="_Toc462564070"/>
      <w:bookmarkStart w:id="10" w:name="_Toc513029211"/>
      <w:bookmarkStart w:id="11" w:name="_Toc16938527"/>
      <w:bookmarkStart w:id="12" w:name="_Toc20823283"/>
      <w:r>
        <w:rPr>
          <w:rFonts w:hint="eastAsia" w:ascii="宋体" w:hAnsi="宋体" w:cs="宋体"/>
          <w:sz w:val="24"/>
        </w:rPr>
        <w:t>磋商文件的澄清</w:t>
      </w:r>
      <w:bookmarkEnd w:id="9"/>
      <w:bookmarkEnd w:id="10"/>
      <w:bookmarkEnd w:id="11"/>
      <w:bookmarkEnd w:id="12"/>
      <w:r>
        <w:rPr>
          <w:rFonts w:hint="eastAsia" w:ascii="宋体" w:hAnsi="宋体" w:cs="宋体"/>
          <w:sz w:val="24"/>
        </w:rPr>
        <w:t>及修改</w:t>
      </w:r>
    </w:p>
    <w:p w14:paraId="4BC29083">
      <w:pPr>
        <w:tabs>
          <w:tab w:val="left" w:pos="900"/>
        </w:tabs>
        <w:adjustRightInd w:val="0"/>
        <w:snapToGrid w:val="0"/>
        <w:spacing w:line="480" w:lineRule="exact"/>
        <w:ind w:firstLine="480" w:firstLineChars="200"/>
        <w:rPr>
          <w:rFonts w:hint="eastAsia" w:ascii="宋体" w:hAnsi="宋体" w:cs="宋体"/>
          <w:sz w:val="24"/>
        </w:rPr>
      </w:pPr>
      <w:bookmarkStart w:id="13" w:name="_Hlt26670348"/>
      <w:bookmarkEnd w:id="13"/>
      <w:bookmarkStart w:id="14" w:name="_Hlt26670345"/>
      <w:bookmarkEnd w:id="14"/>
      <w:bookmarkStart w:id="15" w:name="_Hlt26954832"/>
      <w:bookmarkEnd w:id="15"/>
      <w:bookmarkStart w:id="16" w:name="_Hlt26954830"/>
      <w:bookmarkEnd w:id="16"/>
      <w:bookmarkStart w:id="17" w:name="_Hlt26954828"/>
      <w:bookmarkEnd w:id="17"/>
      <w:bookmarkStart w:id="18" w:name="_Hlt26670354"/>
      <w:bookmarkEnd w:id="18"/>
      <w:bookmarkStart w:id="19" w:name="_Hlt26668969"/>
      <w:bookmarkEnd w:id="19"/>
      <w:bookmarkStart w:id="20" w:name="_Toc462564072"/>
      <w:bookmarkStart w:id="21" w:name="_Toc513029213"/>
      <w:bookmarkStart w:id="22" w:name="_Toc14577351"/>
      <w:bookmarkStart w:id="23" w:name="_Toc61149553"/>
      <w:r>
        <w:rPr>
          <w:rFonts w:hint="eastAsia" w:ascii="宋体" w:hAnsi="宋体" w:cs="宋体"/>
          <w:sz w:val="24"/>
        </w:rPr>
        <w:t>6.1采购人可以对已发出的磋商文件进行必要的澄清或者修改，澄清或者修改的内容作为磋商文件的组成部分。澄清或者修改的内容可能影响响应文件编制的，采购人将在提交首次响应文件截止之日5日前，以书面形式通知所有获取磋商文件的供应商，不足5日的，应当顺延提交首次响应文件截止之日。</w:t>
      </w:r>
    </w:p>
    <w:p w14:paraId="5E06F569">
      <w:pPr>
        <w:tabs>
          <w:tab w:val="left" w:pos="900"/>
        </w:tabs>
        <w:adjustRightInd w:val="0"/>
        <w:snapToGrid w:val="0"/>
        <w:spacing w:line="480" w:lineRule="exact"/>
        <w:ind w:firstLine="480" w:firstLineChars="200"/>
        <w:rPr>
          <w:rFonts w:hint="eastAsia" w:ascii="宋体" w:hAnsi="宋体" w:cs="宋体"/>
          <w:sz w:val="24"/>
          <w:lang w:val="zh-CN"/>
        </w:rPr>
      </w:pPr>
      <w:r>
        <w:rPr>
          <w:rFonts w:hint="eastAsia" w:ascii="宋体" w:hAnsi="宋体" w:cs="宋体"/>
          <w:sz w:val="24"/>
        </w:rPr>
        <w:t>6.2供应商由于对磋商文件的任何推论和误解以及采购人对有</w:t>
      </w:r>
      <w:r>
        <w:rPr>
          <w:rFonts w:hint="eastAsia" w:ascii="宋体" w:hAnsi="宋体" w:cs="宋体"/>
          <w:sz w:val="24"/>
          <w:lang w:val="zh-CN"/>
        </w:rPr>
        <w:t>关问题的口头解释所造成的后果，均由供应商自负。</w:t>
      </w:r>
    </w:p>
    <w:p w14:paraId="4C4A3ADA">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6.3</w:t>
      </w:r>
      <w:r>
        <w:rPr>
          <w:rFonts w:hint="eastAsia" w:ascii="宋体" w:hAnsi="宋体" w:cs="宋体"/>
          <w:sz w:val="24"/>
          <w:lang w:val="zh-CN"/>
        </w:rPr>
        <w:t>采购单位可视情组织答疑会。</w:t>
      </w:r>
    </w:p>
    <w:p w14:paraId="13CF201B">
      <w:pPr>
        <w:tabs>
          <w:tab w:val="left" w:pos="900"/>
        </w:tabs>
        <w:adjustRightInd w:val="0"/>
        <w:snapToGrid w:val="0"/>
        <w:spacing w:line="480" w:lineRule="exact"/>
        <w:ind w:firstLine="482" w:firstLineChars="200"/>
        <w:rPr>
          <w:rFonts w:hint="eastAsia" w:ascii="宋体" w:hAnsi="宋体" w:cs="宋体"/>
          <w:b/>
          <w:sz w:val="24"/>
        </w:rPr>
      </w:pPr>
      <w:r>
        <w:rPr>
          <w:rFonts w:hint="eastAsia" w:ascii="宋体" w:hAnsi="宋体" w:cs="宋体"/>
          <w:b/>
          <w:sz w:val="24"/>
        </w:rPr>
        <w:t>二、磋商响应文件的编制</w:t>
      </w:r>
      <w:bookmarkEnd w:id="20"/>
      <w:bookmarkEnd w:id="21"/>
      <w:bookmarkEnd w:id="22"/>
      <w:bookmarkEnd w:id="23"/>
      <w:r>
        <w:rPr>
          <w:rFonts w:hint="eastAsia" w:ascii="宋体" w:hAnsi="宋体" w:cs="宋体"/>
          <w:b/>
          <w:sz w:val="24"/>
        </w:rPr>
        <w:t>及保证金收取</w:t>
      </w:r>
    </w:p>
    <w:p w14:paraId="377CEE5A">
      <w:pPr>
        <w:tabs>
          <w:tab w:val="left" w:pos="900"/>
        </w:tabs>
        <w:adjustRightInd w:val="0"/>
        <w:snapToGrid w:val="0"/>
        <w:spacing w:line="480" w:lineRule="exact"/>
        <w:ind w:firstLine="480" w:firstLineChars="200"/>
        <w:rPr>
          <w:rFonts w:hint="eastAsia" w:ascii="宋体" w:hAnsi="宋体" w:cs="宋体"/>
          <w:sz w:val="24"/>
        </w:rPr>
      </w:pPr>
      <w:bookmarkStart w:id="24" w:name="_Toc61149561"/>
      <w:bookmarkStart w:id="25" w:name="_Toc513029223"/>
      <w:bookmarkStart w:id="26" w:name="_Toc14577361"/>
      <w:r>
        <w:rPr>
          <w:rFonts w:hint="eastAsia" w:ascii="宋体" w:hAnsi="宋体" w:cs="宋体"/>
          <w:sz w:val="24"/>
          <w:lang w:eastAsia="zh-CN"/>
        </w:rPr>
        <w:t>1.</w:t>
      </w:r>
      <w:r>
        <w:rPr>
          <w:rFonts w:hint="eastAsia" w:ascii="宋体" w:hAnsi="宋体" w:cs="宋体"/>
          <w:sz w:val="24"/>
        </w:rPr>
        <w:t>磋商响应文件份数和签署</w:t>
      </w:r>
      <w:bookmarkEnd w:id="24"/>
      <w:bookmarkEnd w:id="25"/>
      <w:bookmarkEnd w:id="26"/>
    </w:p>
    <w:p w14:paraId="731DAEEE">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1.1磋商供应商应严格按照</w:t>
      </w:r>
      <w:r>
        <w:rPr>
          <w:rFonts w:hint="eastAsia" w:ascii="宋体" w:hAnsi="宋体" w:cs="宋体"/>
          <w:sz w:val="24"/>
          <w:lang w:eastAsia="zh-CN"/>
        </w:rPr>
        <w:t>采购公告</w:t>
      </w:r>
      <w:r>
        <w:rPr>
          <w:rFonts w:hint="eastAsia" w:ascii="宋体" w:hAnsi="宋体" w:cs="宋体"/>
          <w:sz w:val="24"/>
        </w:rPr>
        <w:t>要求准备磋商响应文件（以下简称响应文件），每份响应文件须清楚地标明“正本”或“副本”字样。</w:t>
      </w:r>
    </w:p>
    <w:p w14:paraId="60F847E8">
      <w:pPr>
        <w:adjustRightInd w:val="0"/>
        <w:snapToGrid w:val="0"/>
        <w:spacing w:line="480" w:lineRule="exact"/>
        <w:ind w:firstLine="480" w:firstLineChars="200"/>
        <w:rPr>
          <w:rFonts w:hint="eastAsia" w:ascii="宋体" w:hAnsi="宋体" w:cs="宋体"/>
          <w:sz w:val="28"/>
          <w:szCs w:val="28"/>
        </w:rPr>
      </w:pPr>
      <w:r>
        <w:rPr>
          <w:rFonts w:hint="eastAsia" w:ascii="宋体" w:hAnsi="宋体" w:cs="宋体"/>
          <w:sz w:val="24"/>
        </w:rPr>
        <w:t>响应文件的正本和所有的副本均需打印或复印。响应文件正本中，除磋商文件规定的可提交复印件外，其他文件均须提交原件，文字材料需打印或用不褪色墨水书写，响应文件正本须经法定代表人或授权代理人签字或签章和加盖磋商供应商公章。本磋商文件所表述（指定）的公章是指刻有供应商法定名称的印章，不包括合同、财务、税务、发票等形式的业务专用章。</w:t>
      </w:r>
    </w:p>
    <w:p w14:paraId="554FDCC6">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1.2除磋商供应商对错处做必要修改外，响应文件不得行间插字、涂改或增删。如有修改错漏处，必须由响应文件签署人签字或盖章。</w:t>
      </w:r>
    </w:p>
    <w:p w14:paraId="25E7B5EE">
      <w:pPr>
        <w:tabs>
          <w:tab w:val="left" w:pos="900"/>
        </w:tabs>
        <w:adjustRightInd w:val="0"/>
        <w:snapToGrid w:val="0"/>
        <w:spacing w:line="480" w:lineRule="exact"/>
        <w:ind w:firstLine="480" w:firstLineChars="200"/>
        <w:rPr>
          <w:rFonts w:hint="eastAsia" w:ascii="宋体" w:hAnsi="宋体" w:cs="宋体"/>
          <w:sz w:val="24"/>
        </w:rPr>
      </w:pPr>
      <w:bookmarkStart w:id="27" w:name="_Hlt26954834"/>
      <w:bookmarkEnd w:id="27"/>
      <w:bookmarkStart w:id="28" w:name="_Toc14577353"/>
      <w:bookmarkStart w:id="29" w:name="_Toc61149555"/>
      <w:bookmarkStart w:id="30" w:name="_Toc462564074"/>
      <w:bookmarkStart w:id="31" w:name="_Toc513029215"/>
      <w:bookmarkStart w:id="32" w:name="_Toc14577352"/>
      <w:bookmarkStart w:id="33" w:name="_Toc462564073"/>
      <w:bookmarkStart w:id="34" w:name="_Toc61149554"/>
      <w:bookmarkStart w:id="35" w:name="_Toc513029214"/>
      <w:r>
        <w:rPr>
          <w:rFonts w:hint="eastAsia" w:ascii="宋体" w:hAnsi="宋体" w:cs="宋体"/>
          <w:sz w:val="24"/>
          <w:lang w:eastAsia="zh-CN"/>
        </w:rPr>
        <w:t>2.</w:t>
      </w:r>
      <w:r>
        <w:rPr>
          <w:rFonts w:hint="eastAsia" w:ascii="宋体" w:hAnsi="宋体" w:cs="宋体"/>
          <w:sz w:val="24"/>
        </w:rPr>
        <w:t>响应文件</w:t>
      </w:r>
      <w:bookmarkEnd w:id="28"/>
      <w:bookmarkEnd w:id="29"/>
      <w:bookmarkEnd w:id="30"/>
      <w:bookmarkEnd w:id="31"/>
      <w:r>
        <w:rPr>
          <w:rFonts w:hint="eastAsia" w:ascii="宋体" w:hAnsi="宋体" w:cs="宋体"/>
          <w:sz w:val="24"/>
        </w:rPr>
        <w:t>编制要求</w:t>
      </w:r>
    </w:p>
    <w:bookmarkEnd w:id="32"/>
    <w:bookmarkEnd w:id="33"/>
    <w:bookmarkEnd w:id="34"/>
    <w:bookmarkEnd w:id="35"/>
    <w:p w14:paraId="2B08FF5F">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2.1磋商供应商提交的响应文件以及磋商供应商与采购人就有关磋商的所有来往函电均应使用简体中文。磋商文件中既有中文也有外文的，以中文意义为准。</w:t>
      </w:r>
    </w:p>
    <w:p w14:paraId="3C70A17A">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2.2除技术性能另有规定外，响应文件所使用的度量衡单位，均须采用国家法定计量单位。</w:t>
      </w:r>
    </w:p>
    <w:p w14:paraId="53809388">
      <w:pPr>
        <w:tabs>
          <w:tab w:val="left" w:pos="900"/>
        </w:tabs>
        <w:adjustRightInd w:val="0"/>
        <w:snapToGrid w:val="0"/>
        <w:spacing w:line="480" w:lineRule="exact"/>
        <w:ind w:firstLine="480" w:firstLineChars="200"/>
        <w:rPr>
          <w:rFonts w:hint="eastAsia" w:ascii="宋体" w:hAnsi="宋体" w:cs="宋体"/>
          <w:sz w:val="24"/>
        </w:rPr>
      </w:pPr>
      <w:bookmarkStart w:id="36" w:name="_Hlt26954836"/>
      <w:bookmarkEnd w:id="36"/>
      <w:bookmarkStart w:id="37" w:name="_Hlt26670357"/>
      <w:bookmarkEnd w:id="37"/>
      <w:bookmarkStart w:id="38" w:name="_Toc513029219"/>
      <w:bookmarkStart w:id="39" w:name="_Toc14577357"/>
      <w:bookmarkStart w:id="40" w:name="_Toc61149558"/>
      <w:bookmarkStart w:id="41" w:name="_Toc513029217"/>
      <w:bookmarkStart w:id="42" w:name="_Toc14577355"/>
      <w:bookmarkStart w:id="43" w:name="_Toc61149557"/>
      <w:r>
        <w:rPr>
          <w:rFonts w:hint="eastAsia" w:ascii="宋体" w:hAnsi="宋体" w:cs="宋体"/>
          <w:sz w:val="24"/>
          <w:lang w:eastAsia="zh-CN"/>
        </w:rPr>
        <w:t>3.</w:t>
      </w:r>
      <w:r>
        <w:rPr>
          <w:rFonts w:hint="eastAsia" w:ascii="宋体" w:hAnsi="宋体" w:cs="宋体"/>
          <w:sz w:val="24"/>
        </w:rPr>
        <w:t>参加磋商供应商资格的文件</w:t>
      </w:r>
      <w:bookmarkEnd w:id="38"/>
      <w:bookmarkEnd w:id="39"/>
      <w:bookmarkEnd w:id="40"/>
      <w:r>
        <w:rPr>
          <w:rFonts w:hint="eastAsia" w:ascii="宋体" w:hAnsi="宋体" w:cs="宋体"/>
          <w:sz w:val="24"/>
        </w:rPr>
        <w:t>证明</w:t>
      </w:r>
    </w:p>
    <w:p w14:paraId="65ECD96C">
      <w:pPr>
        <w:tabs>
          <w:tab w:val="left" w:pos="900"/>
        </w:tabs>
        <w:adjustRightInd w:val="0"/>
        <w:snapToGrid w:val="0"/>
        <w:spacing w:line="480" w:lineRule="exact"/>
        <w:ind w:firstLine="480" w:firstLineChars="200"/>
        <w:rPr>
          <w:rFonts w:hint="eastAsia" w:ascii="宋体" w:hAnsi="宋体" w:cs="宋体"/>
          <w:sz w:val="24"/>
        </w:rPr>
      </w:pPr>
      <w:bookmarkStart w:id="44" w:name="_Hlt26668999"/>
      <w:bookmarkEnd w:id="44"/>
      <w:r>
        <w:rPr>
          <w:rFonts w:hint="eastAsia" w:ascii="宋体" w:hAnsi="宋体" w:cs="宋体"/>
          <w:sz w:val="24"/>
        </w:rPr>
        <w:t>3.1磋商供应商应提交证明其有资格参加磋商和成交后有能力独立履行合同的文件，并作为其响应文件的一部分。</w:t>
      </w:r>
    </w:p>
    <w:p w14:paraId="1B2A1000">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3.2磋商供应商除必须具有履行合同所需提供的设备以及服务的能力外，还必须具备相应的财务、技术方面的能力。</w:t>
      </w:r>
    </w:p>
    <w:p w14:paraId="55078B4F">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3.3磋商供应商应填写并提交磋商文件所附的“资格审查证明文件”。</w:t>
      </w:r>
    </w:p>
    <w:bookmarkEnd w:id="41"/>
    <w:bookmarkEnd w:id="42"/>
    <w:bookmarkEnd w:id="43"/>
    <w:p w14:paraId="52A4DF24">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lang w:eastAsia="zh-CN"/>
        </w:rPr>
        <w:t>4.</w:t>
      </w:r>
      <w:r>
        <w:rPr>
          <w:rFonts w:hint="eastAsia" w:ascii="宋体" w:hAnsi="宋体" w:cs="宋体"/>
          <w:sz w:val="24"/>
        </w:rPr>
        <w:t>磋商响应报价</w:t>
      </w:r>
      <w:bookmarkStart w:id="45" w:name="_Hlt26670373"/>
      <w:bookmarkEnd w:id="45"/>
      <w:r>
        <w:rPr>
          <w:rFonts w:hint="eastAsia" w:ascii="宋体" w:hAnsi="宋体" w:cs="宋体"/>
          <w:sz w:val="24"/>
        </w:rPr>
        <w:t>表</w:t>
      </w:r>
    </w:p>
    <w:p w14:paraId="4BEBBC54">
      <w:pPr>
        <w:tabs>
          <w:tab w:val="left" w:pos="900"/>
        </w:tabs>
        <w:adjustRightInd w:val="0"/>
        <w:snapToGrid w:val="0"/>
        <w:spacing w:line="480" w:lineRule="exact"/>
        <w:ind w:firstLine="480" w:firstLineChars="200"/>
        <w:rPr>
          <w:rFonts w:hint="eastAsia" w:ascii="宋体" w:hAnsi="宋体" w:cs="宋体"/>
          <w:sz w:val="24"/>
          <w:lang w:val="zh-CN"/>
        </w:rPr>
      </w:pPr>
      <w:r>
        <w:rPr>
          <w:rFonts w:hint="eastAsia" w:ascii="宋体" w:hAnsi="宋体" w:cs="宋体"/>
          <w:sz w:val="24"/>
        </w:rPr>
        <w:t>4.1</w:t>
      </w:r>
      <w:r>
        <w:rPr>
          <w:rFonts w:hint="eastAsia" w:ascii="宋体" w:hAnsi="宋体" w:cs="宋体"/>
          <w:sz w:val="24"/>
          <w:lang w:val="zh-CN"/>
        </w:rPr>
        <w:t>磋商结束后，供应商就所有内容进行最后报价，少报无效。</w:t>
      </w:r>
    </w:p>
    <w:p w14:paraId="4B2FFD2C">
      <w:pPr>
        <w:tabs>
          <w:tab w:val="left" w:pos="900"/>
        </w:tabs>
        <w:adjustRightInd w:val="0"/>
        <w:snapToGrid w:val="0"/>
        <w:spacing w:line="480" w:lineRule="exact"/>
        <w:ind w:firstLine="480" w:firstLineChars="200"/>
        <w:rPr>
          <w:rFonts w:hint="eastAsia" w:ascii="宋体" w:hAnsi="宋体" w:cs="宋体"/>
          <w:sz w:val="24"/>
          <w:lang w:val="zh-CN"/>
        </w:rPr>
      </w:pPr>
      <w:r>
        <w:rPr>
          <w:rFonts w:hint="eastAsia" w:ascii="宋体" w:hAnsi="宋体" w:cs="宋体"/>
          <w:sz w:val="24"/>
        </w:rPr>
        <w:t>4.2</w:t>
      </w:r>
      <w:r>
        <w:rPr>
          <w:rFonts w:hint="eastAsia" w:ascii="宋体" w:hAnsi="宋体" w:cs="宋体"/>
          <w:sz w:val="24"/>
          <w:lang w:val="zh-CN"/>
        </w:rPr>
        <w:t>供应商的所有人员的薪酬（工资、奖金、福利费、各种保险费等）、人员的培训费、装备费、耗材费、工具费、通讯费、宿舍费、办公费及管理费、利润、税金、政策性文件规定及合同包含的所有风险、责任等各项费用由成交供应商自行承担。</w:t>
      </w:r>
    </w:p>
    <w:p w14:paraId="441BF581">
      <w:pPr>
        <w:tabs>
          <w:tab w:val="left" w:pos="900"/>
        </w:tabs>
        <w:adjustRightInd w:val="0"/>
        <w:snapToGrid w:val="0"/>
        <w:spacing w:line="480" w:lineRule="exact"/>
        <w:ind w:firstLine="480" w:firstLineChars="200"/>
        <w:rPr>
          <w:rFonts w:hint="eastAsia" w:ascii="宋体" w:hAnsi="宋体" w:cs="宋体"/>
          <w:sz w:val="24"/>
          <w:lang w:val="zh-CN"/>
        </w:rPr>
      </w:pPr>
      <w:r>
        <w:rPr>
          <w:rFonts w:hint="eastAsia" w:ascii="宋体" w:hAnsi="宋体" w:cs="宋体"/>
          <w:sz w:val="24"/>
        </w:rPr>
        <w:t>4.3</w:t>
      </w:r>
      <w:r>
        <w:rPr>
          <w:rFonts w:hint="eastAsia" w:ascii="宋体" w:hAnsi="宋体" w:cs="宋体"/>
          <w:sz w:val="24"/>
          <w:lang w:val="zh-CN"/>
        </w:rPr>
        <w:t>最后报价将作为磋商小组评定成交供应商的</w:t>
      </w:r>
      <w:r>
        <w:rPr>
          <w:rFonts w:hint="eastAsia" w:ascii="宋体" w:hAnsi="宋体" w:cs="宋体"/>
          <w:sz w:val="24"/>
        </w:rPr>
        <w:t>评审</w:t>
      </w:r>
      <w:r>
        <w:rPr>
          <w:rFonts w:hint="eastAsia" w:ascii="宋体" w:hAnsi="宋体" w:cs="宋体"/>
          <w:sz w:val="24"/>
          <w:lang w:val="zh-CN"/>
        </w:rPr>
        <w:t>依据。</w:t>
      </w:r>
    </w:p>
    <w:p w14:paraId="06556943">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4.4标的物</w:t>
      </w:r>
    </w:p>
    <w:p w14:paraId="3CD177D4">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详见项目需求。</w:t>
      </w:r>
    </w:p>
    <w:p w14:paraId="6ED85C0A">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4.5有关费用处理</w:t>
      </w:r>
    </w:p>
    <w:p w14:paraId="073C6F1B">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本次采购磋商供应商的报价应包括为完成本项目发生的所有费用，本磋商文件中另有规定的除外。</w:t>
      </w:r>
    </w:p>
    <w:p w14:paraId="6E7B34FC">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4.6其他费用处理</w:t>
      </w:r>
    </w:p>
    <w:p w14:paraId="62A34976">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磋商文件未列明，而磋商供应商认为必需的费用也</w:t>
      </w:r>
      <w:r>
        <w:rPr>
          <w:rFonts w:hint="eastAsia" w:ascii="宋体" w:hAnsi="宋体" w:cs="宋体"/>
          <w:sz w:val="24"/>
          <w:lang w:val="en-US" w:eastAsia="zh-CN"/>
        </w:rPr>
        <w:t>包含在</w:t>
      </w:r>
      <w:r>
        <w:rPr>
          <w:rFonts w:hint="eastAsia" w:ascii="宋体" w:hAnsi="宋体" w:cs="宋体"/>
          <w:sz w:val="24"/>
        </w:rPr>
        <w:t>报价</w:t>
      </w:r>
      <w:r>
        <w:rPr>
          <w:rFonts w:hint="eastAsia" w:ascii="宋体" w:hAnsi="宋体" w:cs="宋体"/>
          <w:sz w:val="24"/>
          <w:lang w:val="en-US" w:eastAsia="zh-CN"/>
        </w:rPr>
        <w:t>中</w:t>
      </w:r>
      <w:r>
        <w:rPr>
          <w:rFonts w:hint="eastAsia" w:ascii="宋体" w:hAnsi="宋体" w:cs="宋体"/>
          <w:sz w:val="24"/>
        </w:rPr>
        <w:t>。</w:t>
      </w:r>
    </w:p>
    <w:p w14:paraId="65027769">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4.7报价采用的货币</w:t>
      </w:r>
    </w:p>
    <w:p w14:paraId="60A876EC">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响应文件中的单价和总价，无特殊规定的采用人民币报价，以元为单位标注。磋商文件中另有规定的按规定执行。</w:t>
      </w:r>
    </w:p>
    <w:p w14:paraId="5ABCD31B">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4.8</w:t>
      </w:r>
      <w:r>
        <w:rPr>
          <w:rFonts w:hint="eastAsia" w:ascii="宋体" w:hAnsi="宋体" w:cs="宋体"/>
          <w:sz w:val="24"/>
          <w:lang w:val="en-US" w:eastAsia="zh-CN"/>
        </w:rPr>
        <w:t>报价响应函</w:t>
      </w:r>
      <w:r>
        <w:rPr>
          <w:rFonts w:hint="eastAsia" w:ascii="宋体" w:hAnsi="宋体" w:cs="宋体"/>
          <w:sz w:val="24"/>
        </w:rPr>
        <w:t>的价格应按磋商文件规定填写。</w:t>
      </w:r>
    </w:p>
    <w:p w14:paraId="024D6119">
      <w:pPr>
        <w:tabs>
          <w:tab w:val="left" w:pos="900"/>
        </w:tabs>
        <w:adjustRightInd w:val="0"/>
        <w:snapToGrid w:val="0"/>
        <w:spacing w:line="480" w:lineRule="exact"/>
        <w:ind w:firstLine="480" w:firstLineChars="200"/>
        <w:rPr>
          <w:rFonts w:hint="eastAsia" w:ascii="宋体" w:hAnsi="宋体" w:cs="宋体"/>
          <w:sz w:val="24"/>
        </w:rPr>
      </w:pPr>
      <w:bookmarkStart w:id="46" w:name="_Hlt26670486"/>
      <w:bookmarkEnd w:id="46"/>
      <w:bookmarkStart w:id="47" w:name="_Hlt26954846"/>
      <w:bookmarkEnd w:id="47"/>
      <w:bookmarkStart w:id="48" w:name="_Hlt26668983"/>
      <w:bookmarkEnd w:id="48"/>
      <w:bookmarkStart w:id="49" w:name="_Hlt26954844"/>
      <w:bookmarkEnd w:id="49"/>
      <w:bookmarkStart w:id="50" w:name="_Hlt26954848"/>
      <w:bookmarkEnd w:id="50"/>
      <w:bookmarkStart w:id="51" w:name="_Hlt26954731"/>
      <w:bookmarkEnd w:id="51"/>
      <w:bookmarkStart w:id="52" w:name="_Hlt26670425"/>
      <w:bookmarkEnd w:id="52"/>
      <w:bookmarkStart w:id="53" w:name="_Hlt26670482"/>
      <w:bookmarkEnd w:id="53"/>
      <w:bookmarkStart w:id="54" w:name="_Hlt26954842"/>
      <w:bookmarkEnd w:id="54"/>
      <w:bookmarkStart w:id="55" w:name="_Hlt26670403"/>
      <w:bookmarkEnd w:id="55"/>
      <w:bookmarkStart w:id="56" w:name="_Toc14577359"/>
      <w:bookmarkStart w:id="57" w:name="_Toc513029221"/>
      <w:bookmarkStart w:id="58" w:name="_Toc61149559"/>
      <w:r>
        <w:rPr>
          <w:rFonts w:hint="eastAsia" w:ascii="宋体" w:hAnsi="宋体" w:cs="宋体"/>
          <w:sz w:val="24"/>
          <w:lang w:eastAsia="zh-CN"/>
        </w:rPr>
        <w:t>5.</w:t>
      </w:r>
      <w:r>
        <w:rPr>
          <w:rFonts w:hint="eastAsia" w:ascii="宋体" w:hAnsi="宋体" w:cs="宋体"/>
          <w:sz w:val="24"/>
        </w:rPr>
        <w:t>项目需求响应方案</w:t>
      </w:r>
    </w:p>
    <w:p w14:paraId="0E116707">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5.1提供为完成本项目的实施方案。</w:t>
      </w:r>
    </w:p>
    <w:p w14:paraId="530151D3">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5.2磋商供应商认为需要的其他商务技术响应文件或说明。</w:t>
      </w:r>
    </w:p>
    <w:p w14:paraId="14FE2999">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lang w:eastAsia="zh-CN"/>
        </w:rPr>
        <w:t>6.</w:t>
      </w:r>
      <w:r>
        <w:rPr>
          <w:rFonts w:hint="eastAsia" w:ascii="宋体" w:hAnsi="宋体" w:cs="宋体"/>
          <w:sz w:val="24"/>
        </w:rPr>
        <w:t>磋商保证金</w:t>
      </w:r>
      <w:bookmarkEnd w:id="56"/>
      <w:bookmarkEnd w:id="57"/>
      <w:bookmarkEnd w:id="58"/>
      <w:r>
        <w:rPr>
          <w:rFonts w:hint="eastAsia" w:ascii="宋体" w:hAnsi="宋体" w:cs="宋体"/>
          <w:sz w:val="24"/>
        </w:rPr>
        <w:t>：本项目不收取磋商保证金。</w:t>
      </w:r>
    </w:p>
    <w:p w14:paraId="26BFDC67">
      <w:pPr>
        <w:tabs>
          <w:tab w:val="left" w:pos="900"/>
        </w:tabs>
        <w:adjustRightInd w:val="0"/>
        <w:snapToGrid w:val="0"/>
        <w:spacing w:line="480" w:lineRule="exact"/>
        <w:ind w:firstLine="482" w:firstLineChars="200"/>
        <w:rPr>
          <w:rFonts w:hint="eastAsia" w:ascii="宋体" w:hAnsi="宋体" w:cs="宋体"/>
          <w:sz w:val="24"/>
        </w:rPr>
      </w:pPr>
      <w:bookmarkStart w:id="59" w:name="_Hlt26670493"/>
      <w:bookmarkEnd w:id="59"/>
      <w:bookmarkStart w:id="60" w:name="_Hlt26954739"/>
      <w:bookmarkEnd w:id="60"/>
      <w:bookmarkStart w:id="61" w:name="_Hlt26670489"/>
      <w:bookmarkEnd w:id="61"/>
      <w:bookmarkStart w:id="62" w:name="_Hlt26954749"/>
      <w:bookmarkEnd w:id="62"/>
      <w:bookmarkStart w:id="63" w:name="_Hlt26954850"/>
      <w:bookmarkEnd w:id="63"/>
      <w:bookmarkStart w:id="64" w:name="_Hlt26954734"/>
      <w:bookmarkEnd w:id="64"/>
      <w:bookmarkStart w:id="65" w:name="_Hlt26954852"/>
      <w:bookmarkEnd w:id="65"/>
      <w:bookmarkStart w:id="66" w:name="_Hlt26954854"/>
      <w:bookmarkEnd w:id="66"/>
      <w:bookmarkStart w:id="67" w:name="_Toc513029224"/>
      <w:bookmarkStart w:id="68" w:name="_Toc14577362"/>
      <w:bookmarkStart w:id="69" w:name="_Toc61149562"/>
      <w:r>
        <w:rPr>
          <w:rFonts w:hint="eastAsia" w:ascii="宋体" w:hAnsi="宋体" w:cs="宋体"/>
          <w:b/>
          <w:sz w:val="24"/>
        </w:rPr>
        <w:t>三、响应文件的递交</w:t>
      </w:r>
      <w:bookmarkEnd w:id="67"/>
      <w:bookmarkEnd w:id="68"/>
      <w:bookmarkEnd w:id="69"/>
      <w:bookmarkStart w:id="70" w:name="_Hlt26954752"/>
      <w:bookmarkEnd w:id="70"/>
      <w:bookmarkStart w:id="71" w:name="_Hlt26670496"/>
      <w:bookmarkEnd w:id="71"/>
      <w:bookmarkStart w:id="72" w:name="_Hlt26954858"/>
      <w:bookmarkEnd w:id="72"/>
      <w:bookmarkStart w:id="73" w:name="_Hlt26954856"/>
      <w:bookmarkEnd w:id="73"/>
      <w:bookmarkStart w:id="74" w:name="_Toc61149564"/>
      <w:bookmarkStart w:id="75" w:name="_Toc14577364"/>
      <w:bookmarkStart w:id="76" w:name="_Toc513029226"/>
    </w:p>
    <w:p w14:paraId="26E1486E">
      <w:pPr>
        <w:adjustRightInd w:val="0"/>
        <w:snapToGrid w:val="0"/>
        <w:spacing w:line="480" w:lineRule="exact"/>
        <w:ind w:firstLine="482" w:firstLineChars="200"/>
        <w:contextualSpacing/>
        <w:rPr>
          <w:rFonts w:hint="eastAsia" w:ascii="宋体" w:hAnsi="宋体" w:cs="宋体"/>
          <w:b/>
          <w:sz w:val="24"/>
        </w:rPr>
      </w:pPr>
      <w:r>
        <w:rPr>
          <w:rFonts w:hint="eastAsia" w:ascii="宋体" w:hAnsi="宋体" w:cs="宋体"/>
          <w:b/>
          <w:sz w:val="24"/>
        </w:rPr>
        <w:t>1.响应文件的递交</w:t>
      </w:r>
    </w:p>
    <w:p w14:paraId="284EFB3E">
      <w:pPr>
        <w:adjustRightInd w:val="0"/>
        <w:snapToGrid w:val="0"/>
        <w:spacing w:line="480" w:lineRule="exact"/>
        <w:ind w:firstLine="480" w:firstLineChars="200"/>
        <w:contextualSpacing/>
        <w:rPr>
          <w:rFonts w:hint="eastAsia" w:ascii="宋体" w:hAnsi="宋体" w:cs="宋体"/>
          <w:sz w:val="24"/>
        </w:rPr>
      </w:pPr>
      <w:r>
        <w:rPr>
          <w:rFonts w:hint="eastAsia" w:ascii="宋体" w:hAnsi="宋体" w:cs="宋体"/>
          <w:sz w:val="24"/>
        </w:rPr>
        <w:t>1.1响应文件三部分内容</w:t>
      </w:r>
      <w:r>
        <w:rPr>
          <w:rFonts w:hint="eastAsia" w:ascii="宋体" w:hAnsi="宋体" w:cs="宋体"/>
          <w:b/>
          <w:bCs/>
          <w:sz w:val="24"/>
        </w:rPr>
        <w:t>（资格审查证明文件、商务技术响应文件、价格响应文件）</w:t>
      </w:r>
      <w:r>
        <w:rPr>
          <w:rFonts w:hint="eastAsia" w:ascii="宋体" w:hAnsi="宋体" w:cs="宋体"/>
          <w:sz w:val="24"/>
        </w:rPr>
        <w:t>须分别单独密封，</w:t>
      </w:r>
      <w:r>
        <w:rPr>
          <w:rFonts w:hint="eastAsia" w:ascii="宋体" w:hAnsi="宋体" w:cs="宋体"/>
          <w:sz w:val="24"/>
          <w:lang w:val="zh-CN"/>
        </w:rPr>
        <w:t>并牢</w:t>
      </w:r>
      <w:r>
        <w:rPr>
          <w:rFonts w:hint="eastAsia" w:ascii="宋体" w:hAnsi="宋体" w:cs="宋体"/>
          <w:sz w:val="24"/>
        </w:rPr>
        <w:t>固装订成册，不得相互混淆，不得将内容拆开。价格响应文件不得出现于其他响应文件中。</w:t>
      </w:r>
    </w:p>
    <w:p w14:paraId="6952ED8D">
      <w:pPr>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1.2响应文件每一部分内容均须提供“</w:t>
      </w:r>
      <w:r>
        <w:rPr>
          <w:rFonts w:hint="eastAsia" w:ascii="宋体" w:hAnsi="宋体" w:cs="宋体"/>
          <w:b/>
          <w:sz w:val="24"/>
        </w:rPr>
        <w:t>一正、两副”</w:t>
      </w:r>
      <w:r>
        <w:rPr>
          <w:rFonts w:hint="eastAsia" w:ascii="宋体" w:hAnsi="宋体" w:cs="宋体"/>
          <w:sz w:val="24"/>
        </w:rPr>
        <w:t>纸质响应文件，并将正本、副本及图纸类等（如需提供图纸等其他资料的话）合并密封也可分开密封，统一装在一个密封袋或密封箱内（如有A3大小的图纸类，可单独密封）。</w:t>
      </w:r>
    </w:p>
    <w:p w14:paraId="7517BD09">
      <w:pPr>
        <w:adjustRightInd w:val="0"/>
        <w:snapToGrid w:val="0"/>
        <w:spacing w:line="480" w:lineRule="exact"/>
        <w:ind w:firstLine="480" w:firstLineChars="200"/>
        <w:contextualSpacing/>
        <w:rPr>
          <w:rFonts w:hint="eastAsia" w:ascii="宋体" w:hAnsi="宋体" w:cs="宋体"/>
          <w:sz w:val="24"/>
        </w:rPr>
      </w:pPr>
      <w:r>
        <w:rPr>
          <w:rFonts w:hint="eastAsia" w:ascii="宋体" w:hAnsi="宋体" w:cs="宋体"/>
          <w:sz w:val="24"/>
        </w:rPr>
        <w:t>1.3纸质响应文件须</w:t>
      </w:r>
      <w:r>
        <w:rPr>
          <w:rFonts w:hint="eastAsia" w:ascii="宋体" w:hAnsi="宋体" w:cs="宋体"/>
          <w:sz w:val="24"/>
          <w:lang w:val="zh-CN"/>
        </w:rPr>
        <w:t>采用A4纸（</w:t>
      </w:r>
      <w:r>
        <w:rPr>
          <w:rFonts w:hint="eastAsia" w:ascii="宋体" w:hAnsi="宋体" w:cs="宋体"/>
          <w:sz w:val="24"/>
        </w:rPr>
        <w:t>图纸等除外），正本须打印并由法定代表人或授权代理人签字</w:t>
      </w:r>
      <w:r>
        <w:rPr>
          <w:rFonts w:hint="eastAsia" w:ascii="宋体" w:hAnsi="宋体" w:cs="宋体"/>
          <w:sz w:val="24"/>
          <w:lang w:val="en-US" w:eastAsia="zh-CN"/>
        </w:rPr>
        <w:t>或印鉴</w:t>
      </w:r>
      <w:r>
        <w:rPr>
          <w:rFonts w:hint="eastAsia" w:ascii="宋体" w:hAnsi="宋体" w:cs="宋体"/>
          <w:sz w:val="24"/>
        </w:rPr>
        <w:t>并加盖单位印章。副本可复印，但</w:t>
      </w:r>
      <w:r>
        <w:rPr>
          <w:rFonts w:hint="eastAsia" w:ascii="宋体" w:hAnsi="宋体" w:cs="宋体"/>
          <w:sz w:val="24"/>
          <w:lang w:val="en-US" w:eastAsia="zh-CN"/>
        </w:rPr>
        <w:t>封面</w:t>
      </w:r>
      <w:r>
        <w:rPr>
          <w:rFonts w:hint="eastAsia" w:ascii="宋体" w:hAnsi="宋体" w:cs="宋体"/>
          <w:sz w:val="24"/>
        </w:rPr>
        <w:t>须加盖单位印章。文件内容中不得行间插字、涂改、增删，如修补错漏处，须由响应文件签署人签字并加盖公章。</w:t>
      </w:r>
    </w:p>
    <w:p w14:paraId="5D89972A">
      <w:pPr>
        <w:adjustRightInd w:val="0"/>
        <w:snapToGrid w:val="0"/>
        <w:spacing w:line="480" w:lineRule="exact"/>
        <w:ind w:firstLine="480" w:firstLineChars="200"/>
        <w:contextualSpacing/>
        <w:rPr>
          <w:rFonts w:hint="eastAsia" w:ascii="宋体" w:hAnsi="宋体" w:eastAsia="宋体" w:cs="宋体"/>
          <w:sz w:val="24"/>
          <w:lang w:eastAsia="zh-CN"/>
        </w:rPr>
      </w:pPr>
      <w:r>
        <w:rPr>
          <w:rFonts w:hint="eastAsia" w:ascii="宋体" w:hAnsi="宋体" w:cs="宋体"/>
          <w:sz w:val="24"/>
        </w:rPr>
        <w:t>1.4</w:t>
      </w:r>
      <w:r>
        <w:rPr>
          <w:rFonts w:hint="eastAsia" w:ascii="宋体" w:hAnsi="宋体" w:cs="宋体"/>
          <w:b/>
          <w:bCs/>
          <w:sz w:val="24"/>
        </w:rPr>
        <w:t>响应文件密封后应标明响应文件项目名称、磋商供应商名称、日期，边缝处加盖单位骑缝章或骑缝签字或骑缝印鉴</w:t>
      </w:r>
      <w:r>
        <w:rPr>
          <w:rFonts w:hint="eastAsia" w:ascii="宋体" w:hAnsi="宋体" w:cs="宋体"/>
          <w:sz w:val="24"/>
          <w:lang w:eastAsia="zh-CN"/>
        </w:rPr>
        <w:t>。</w:t>
      </w:r>
    </w:p>
    <w:p w14:paraId="203B4E75">
      <w:pPr>
        <w:adjustRightInd w:val="0"/>
        <w:snapToGrid w:val="0"/>
        <w:spacing w:line="480" w:lineRule="exact"/>
        <w:ind w:firstLine="480" w:firstLineChars="200"/>
        <w:contextualSpacing/>
        <w:rPr>
          <w:rFonts w:hint="eastAsia" w:ascii="宋体" w:hAnsi="宋体" w:cs="宋体"/>
          <w:sz w:val="24"/>
        </w:rPr>
      </w:pPr>
      <w:r>
        <w:rPr>
          <w:rFonts w:hint="eastAsia" w:ascii="宋体" w:hAnsi="宋体" w:cs="宋体"/>
          <w:sz w:val="24"/>
        </w:rPr>
        <w:t>1.5本项目分开编制，“资格审查证明文件”“商务技术响应文件”“价格响应文件”的密封袋及响应文件上应标明资格审查证明文件、商务技术响应文件、价格响应文件分别提供，一正二副。</w:t>
      </w:r>
    </w:p>
    <w:p w14:paraId="51250D82">
      <w:pPr>
        <w:adjustRightInd w:val="0"/>
        <w:snapToGrid w:val="0"/>
        <w:spacing w:line="480" w:lineRule="exact"/>
        <w:ind w:firstLine="480" w:firstLineChars="200"/>
        <w:contextualSpacing/>
        <w:rPr>
          <w:rFonts w:hint="eastAsia" w:ascii="宋体" w:hAnsi="宋体" w:cs="宋体"/>
          <w:sz w:val="24"/>
        </w:rPr>
      </w:pPr>
      <w:r>
        <w:rPr>
          <w:rFonts w:hint="eastAsia" w:ascii="宋体" w:hAnsi="宋体" w:cs="宋体"/>
          <w:sz w:val="24"/>
        </w:rPr>
        <w:t>1.6递交时间：供应商须在规定的响应文件接收截止时间前送达指定地点。</w:t>
      </w:r>
    </w:p>
    <w:p w14:paraId="398E69BB">
      <w:pPr>
        <w:adjustRightInd w:val="0"/>
        <w:snapToGrid w:val="0"/>
        <w:spacing w:line="480" w:lineRule="exact"/>
        <w:ind w:firstLine="482" w:firstLineChars="200"/>
        <w:contextualSpacing/>
        <w:rPr>
          <w:rFonts w:hint="eastAsia" w:ascii="宋体" w:hAnsi="宋体" w:cs="宋体"/>
          <w:b/>
          <w:sz w:val="24"/>
        </w:rPr>
      </w:pPr>
      <w:r>
        <w:rPr>
          <w:rFonts w:hint="eastAsia" w:ascii="宋体" w:hAnsi="宋体" w:cs="宋体"/>
          <w:b/>
          <w:sz w:val="24"/>
        </w:rPr>
        <w:t>特别提醒：采购人或采购代理机构将拒绝接收未按照磋商文件要求密封的响应文件，拒绝接收在响应文件接收截止时间后递交的响应文件。</w:t>
      </w:r>
    </w:p>
    <w:p w14:paraId="6A8875AC">
      <w:pPr>
        <w:adjustRightInd w:val="0"/>
        <w:snapToGrid w:val="0"/>
        <w:spacing w:line="480" w:lineRule="exact"/>
        <w:ind w:firstLine="482" w:firstLineChars="200"/>
        <w:contextualSpacing/>
        <w:rPr>
          <w:rFonts w:hint="eastAsia" w:ascii="宋体" w:hAnsi="宋体" w:cs="宋体"/>
          <w:b/>
          <w:sz w:val="24"/>
        </w:rPr>
      </w:pPr>
      <w:r>
        <w:rPr>
          <w:rFonts w:hint="eastAsia" w:ascii="宋体" w:hAnsi="宋体" w:cs="宋体"/>
          <w:b/>
          <w:color w:val="000000"/>
          <w:sz w:val="24"/>
        </w:rPr>
        <w:t>供应商获取磋商文件后，应仔细检查磋商文件的所有内容，如对采购活动事项有疑问的，未在规定时间内提出询问或疑问的，视同供应商理解并接受本磋商文件所有内容，并由此引起的损失自负</w:t>
      </w:r>
      <w:r>
        <w:rPr>
          <w:rFonts w:hint="eastAsia" w:ascii="宋体" w:hAnsi="宋体" w:cs="宋体"/>
          <w:b/>
          <w:sz w:val="24"/>
        </w:rPr>
        <w:t>。</w:t>
      </w:r>
    </w:p>
    <w:p w14:paraId="5DF667F1">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lang w:eastAsia="zh-CN"/>
        </w:rPr>
        <w:t>2.</w:t>
      </w:r>
      <w:bookmarkEnd w:id="74"/>
      <w:bookmarkEnd w:id="75"/>
      <w:bookmarkEnd w:id="76"/>
      <w:r>
        <w:rPr>
          <w:rFonts w:hint="eastAsia" w:ascii="宋体" w:hAnsi="宋体" w:cs="宋体"/>
          <w:sz w:val="24"/>
        </w:rPr>
        <w:t>响应文件开启时间</w:t>
      </w:r>
    </w:p>
    <w:p w14:paraId="200A2D6A">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2.1采购人或采购代理收到响应文件的时间不得迟于本磋商文件规定的响应文件接收截止时间。</w:t>
      </w:r>
    </w:p>
    <w:p w14:paraId="059B4ED9">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2.2采购人或采购代理可通过修改磋商文件自行决定酌情推迟响应文件接收截止时间，在此情况下，磋商供应商的所有权利和义务以及受制的响应文件接收截止时间均应以延长后新的响应文件接收截止时间为准。</w:t>
      </w:r>
    </w:p>
    <w:p w14:paraId="49C00877">
      <w:pPr>
        <w:tabs>
          <w:tab w:val="left" w:pos="900"/>
        </w:tabs>
        <w:adjustRightInd w:val="0"/>
        <w:snapToGrid w:val="0"/>
        <w:spacing w:line="480" w:lineRule="exact"/>
        <w:ind w:firstLine="480" w:firstLineChars="200"/>
        <w:rPr>
          <w:rFonts w:hint="eastAsia" w:ascii="宋体" w:hAnsi="宋体" w:cs="宋体"/>
          <w:sz w:val="24"/>
        </w:rPr>
      </w:pPr>
      <w:bookmarkStart w:id="77" w:name="_Hlt26954860"/>
      <w:bookmarkEnd w:id="77"/>
      <w:bookmarkStart w:id="78" w:name="_Toc14577365"/>
      <w:bookmarkStart w:id="79" w:name="_Toc513029227"/>
      <w:bookmarkStart w:id="80" w:name="_Toc61149565"/>
      <w:r>
        <w:rPr>
          <w:rFonts w:hint="eastAsia" w:ascii="宋体" w:hAnsi="宋体" w:cs="宋体"/>
          <w:sz w:val="24"/>
          <w:lang w:eastAsia="zh-CN"/>
        </w:rPr>
        <w:t>3.</w:t>
      </w:r>
      <w:r>
        <w:rPr>
          <w:rFonts w:hint="eastAsia" w:ascii="宋体" w:hAnsi="宋体" w:cs="宋体"/>
          <w:sz w:val="24"/>
        </w:rPr>
        <w:t>迟交的响应文件</w:t>
      </w:r>
      <w:bookmarkEnd w:id="78"/>
      <w:bookmarkEnd w:id="79"/>
      <w:bookmarkEnd w:id="80"/>
    </w:p>
    <w:p w14:paraId="54B48934">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3.1采购人或采购代理将拒绝在规定的响应文件接收截止时间后接收响应文件。</w:t>
      </w:r>
    </w:p>
    <w:p w14:paraId="53052DC4">
      <w:pPr>
        <w:tabs>
          <w:tab w:val="left" w:pos="900"/>
        </w:tabs>
        <w:adjustRightInd w:val="0"/>
        <w:snapToGrid w:val="0"/>
        <w:spacing w:line="480" w:lineRule="exact"/>
        <w:ind w:firstLine="480" w:firstLineChars="200"/>
        <w:rPr>
          <w:rFonts w:hint="eastAsia" w:ascii="宋体" w:hAnsi="宋体" w:cs="宋体"/>
          <w:sz w:val="24"/>
        </w:rPr>
      </w:pPr>
      <w:bookmarkStart w:id="81" w:name="_Hlt26954754"/>
      <w:bookmarkEnd w:id="81"/>
      <w:bookmarkStart w:id="82" w:name="_Hlt26954862"/>
      <w:bookmarkEnd w:id="82"/>
      <w:bookmarkStart w:id="83" w:name="_Toc14577366"/>
      <w:bookmarkStart w:id="84" w:name="_Toc513029228"/>
      <w:bookmarkStart w:id="85" w:name="_Toc61149566"/>
      <w:r>
        <w:rPr>
          <w:rFonts w:hint="eastAsia" w:ascii="宋体" w:hAnsi="宋体" w:cs="宋体"/>
          <w:sz w:val="24"/>
          <w:lang w:eastAsia="zh-CN"/>
        </w:rPr>
        <w:t>4.</w:t>
      </w:r>
      <w:r>
        <w:rPr>
          <w:rFonts w:hint="eastAsia" w:ascii="宋体" w:hAnsi="宋体" w:cs="宋体"/>
          <w:sz w:val="24"/>
        </w:rPr>
        <w:t>响应文件</w:t>
      </w:r>
      <w:bookmarkStart w:id="86" w:name="_Hlt26670588"/>
      <w:r>
        <w:rPr>
          <w:rFonts w:hint="eastAsia" w:ascii="宋体" w:hAnsi="宋体" w:cs="宋体"/>
          <w:sz w:val="24"/>
        </w:rPr>
        <w:t>的修改</w:t>
      </w:r>
      <w:bookmarkEnd w:id="86"/>
      <w:r>
        <w:rPr>
          <w:rFonts w:hint="eastAsia" w:ascii="宋体" w:hAnsi="宋体" w:cs="宋体"/>
          <w:sz w:val="24"/>
        </w:rPr>
        <w:t>和撤回</w:t>
      </w:r>
      <w:bookmarkEnd w:id="83"/>
      <w:bookmarkEnd w:id="84"/>
      <w:bookmarkEnd w:id="85"/>
    </w:p>
    <w:p w14:paraId="562DA7F4">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4.1磋商供应商在递交响应文件后，可以修改或撤回其磋商响应文件，但这种修改和撤回，必须在规定的响应文件接收截止时间前，以书面形式送达指定地点。</w:t>
      </w:r>
    </w:p>
    <w:p w14:paraId="1DE9F4B2">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4.2磋商供应商的修改或撤回通知书，应按本文件规定进行编制、密封、标记和发送，并应在封套上加注“修改”和“撤回”字样。</w:t>
      </w:r>
    </w:p>
    <w:p w14:paraId="1D00AF82">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lang w:eastAsia="zh-CN"/>
        </w:rPr>
        <w:t>5.</w:t>
      </w:r>
      <w:r>
        <w:rPr>
          <w:rFonts w:hint="eastAsia" w:ascii="宋体" w:hAnsi="宋体" w:cs="宋体"/>
          <w:sz w:val="24"/>
        </w:rPr>
        <w:t>磋商响应有效期</w:t>
      </w:r>
    </w:p>
    <w:p w14:paraId="2FC20A27">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5.1磋商响应有效期为采购人或采购代理规定的响应文件接收截止时间后六十（60）天。磋商响应有效期比规定短的将被视为非实质性响应性而予以拒绝。</w:t>
      </w:r>
    </w:p>
    <w:p w14:paraId="446A2C01">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5.2在特殊情况下，采购人或采购代理于原磋商响应有效期满之前，可向磋商供应商提出延长磋商响应有效期的要求。这种要求与答复均应采用书面形式。磋商供应商可以拒绝采购人或采购代理的这一要求而放弃磋商响应。同意延长磋商响应有效期的磋商供应商既不能要求也不允许修改其响应文件。受磋商响应有效期约束的所有权利与义务均延长至新的有效期。</w:t>
      </w:r>
    </w:p>
    <w:p w14:paraId="137D6906">
      <w:pPr>
        <w:tabs>
          <w:tab w:val="left" w:pos="900"/>
        </w:tabs>
        <w:adjustRightInd w:val="0"/>
        <w:snapToGrid w:val="0"/>
        <w:spacing w:line="480" w:lineRule="exact"/>
        <w:ind w:firstLine="482" w:firstLineChars="200"/>
        <w:rPr>
          <w:rFonts w:hint="eastAsia" w:ascii="宋体" w:hAnsi="宋体" w:cs="宋体"/>
          <w:b/>
          <w:sz w:val="24"/>
        </w:rPr>
      </w:pPr>
      <w:bookmarkStart w:id="87" w:name="_Hlt26954864"/>
      <w:bookmarkEnd w:id="87"/>
      <w:bookmarkStart w:id="88" w:name="_Hlt26670523"/>
      <w:bookmarkEnd w:id="88"/>
      <w:r>
        <w:rPr>
          <w:rFonts w:hint="eastAsia" w:ascii="宋体" w:hAnsi="宋体" w:cs="宋体"/>
          <w:b/>
          <w:sz w:val="24"/>
        </w:rPr>
        <w:t>四、磋商与评审</w:t>
      </w:r>
    </w:p>
    <w:p w14:paraId="0F3EF434">
      <w:pPr>
        <w:tabs>
          <w:tab w:val="left" w:pos="900"/>
        </w:tabs>
        <w:adjustRightInd w:val="0"/>
        <w:snapToGrid w:val="0"/>
        <w:spacing w:line="480" w:lineRule="exact"/>
        <w:ind w:firstLine="480" w:firstLineChars="200"/>
        <w:rPr>
          <w:rFonts w:hint="eastAsia" w:ascii="宋体" w:hAnsi="宋体" w:cs="宋体"/>
          <w:sz w:val="24"/>
        </w:rPr>
      </w:pPr>
      <w:bookmarkStart w:id="89" w:name="_Toc16938546"/>
      <w:bookmarkStart w:id="90" w:name="_Toc20823302"/>
      <w:bookmarkStart w:id="91" w:name="_Toc513029230"/>
      <w:r>
        <w:rPr>
          <w:rFonts w:hint="eastAsia" w:ascii="宋体" w:hAnsi="宋体" w:cs="宋体"/>
          <w:sz w:val="24"/>
          <w:lang w:eastAsia="zh-CN"/>
        </w:rPr>
        <w:t>1.</w:t>
      </w:r>
      <w:bookmarkEnd w:id="89"/>
      <w:bookmarkEnd w:id="90"/>
      <w:bookmarkEnd w:id="91"/>
      <w:r>
        <w:rPr>
          <w:rFonts w:hint="eastAsia" w:ascii="宋体" w:hAnsi="宋体" w:cs="宋体"/>
          <w:sz w:val="24"/>
        </w:rPr>
        <w:t>磋商仪式</w:t>
      </w:r>
    </w:p>
    <w:p w14:paraId="43BAF9BE">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1.1采购人或采购代理将在</w:t>
      </w:r>
      <w:r>
        <w:rPr>
          <w:rFonts w:hint="eastAsia" w:ascii="宋体" w:hAnsi="宋体" w:cs="宋体"/>
          <w:sz w:val="24"/>
          <w:lang w:eastAsia="zh-CN"/>
        </w:rPr>
        <w:t>采购公告</w:t>
      </w:r>
      <w:r>
        <w:rPr>
          <w:rFonts w:hint="eastAsia" w:ascii="宋体" w:hAnsi="宋体" w:cs="宋体"/>
          <w:sz w:val="24"/>
        </w:rPr>
        <w:t>中规定的时间和地点组织磋商开始仪式，仪式由采购人或采购代理主持，磋商供应商应委派携带有效身份证原件（备查）的代表准时参加，参加仪式的代表需签名以证明其出席。</w:t>
      </w:r>
    </w:p>
    <w:p w14:paraId="39EF7D62">
      <w:pPr>
        <w:tabs>
          <w:tab w:val="left" w:pos="900"/>
        </w:tabs>
        <w:adjustRightInd w:val="0"/>
        <w:snapToGrid w:val="0"/>
        <w:spacing w:line="480" w:lineRule="exact"/>
        <w:ind w:firstLine="480" w:firstLineChars="200"/>
        <w:rPr>
          <w:rFonts w:hint="eastAsia" w:ascii="宋体" w:hAnsi="宋体" w:cs="宋体"/>
          <w:sz w:val="24"/>
        </w:rPr>
      </w:pPr>
      <w:bookmarkStart w:id="92" w:name="_Toc16938547"/>
      <w:bookmarkStart w:id="93" w:name="_Toc20823303"/>
      <w:bookmarkStart w:id="94" w:name="_Toc513029231"/>
      <w:r>
        <w:rPr>
          <w:rFonts w:hint="eastAsia" w:ascii="宋体" w:hAnsi="宋体" w:cs="宋体"/>
          <w:sz w:val="24"/>
          <w:lang w:eastAsia="zh-CN"/>
        </w:rPr>
        <w:t>2.</w:t>
      </w:r>
      <w:r>
        <w:rPr>
          <w:rFonts w:hint="eastAsia" w:ascii="宋体" w:hAnsi="宋体" w:cs="宋体"/>
          <w:sz w:val="24"/>
        </w:rPr>
        <w:t>磋商小组</w:t>
      </w:r>
    </w:p>
    <w:p w14:paraId="2263D5C9">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2.1磋商开始仪式结束后，采购人或采购代理将立即组织磋商小组进行评审。</w:t>
      </w:r>
    </w:p>
    <w:p w14:paraId="482DB327">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2.2磋商小组由评审专家、采购人代表组成，且人员构成符合有关规定。</w:t>
      </w:r>
    </w:p>
    <w:p w14:paraId="117BB779">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lang w:eastAsia="zh-CN"/>
        </w:rPr>
        <w:t>3.</w:t>
      </w:r>
      <w:r>
        <w:rPr>
          <w:rFonts w:hint="eastAsia" w:ascii="宋体" w:hAnsi="宋体" w:cs="宋体"/>
          <w:sz w:val="24"/>
        </w:rPr>
        <w:t>磋商评审过程的保密</w:t>
      </w:r>
      <w:bookmarkEnd w:id="92"/>
      <w:bookmarkEnd w:id="93"/>
      <w:bookmarkEnd w:id="94"/>
      <w:r>
        <w:rPr>
          <w:rFonts w:hint="eastAsia" w:ascii="宋体" w:hAnsi="宋体" w:cs="宋体"/>
          <w:sz w:val="24"/>
        </w:rPr>
        <w:t>与公正</w:t>
      </w:r>
    </w:p>
    <w:p w14:paraId="6678439C">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3.1磋商小组、采购人和采购代理工作人员、相关监督人员等与评审工作有关的人员，对评审情况以及在评审过程中获悉的国家秘密、商业秘密负有保密责任。</w:t>
      </w:r>
    </w:p>
    <w:p w14:paraId="7D7670FB">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3.2在磋商评审过程中，磋商供应商不得以任何行为影响磋商评审过程，否则其响应文件将被视为无效响应文件。</w:t>
      </w:r>
    </w:p>
    <w:p w14:paraId="435C95CD">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3.3磋商小组成员应当按照客观、公正、审慎的原则，根据磋商文件规定的评审程序、评审方法和评审标准进行独立评审。未实质性响应磋商文件的响应文件按无效响应处理，磋商小组应当告知提交响应文件的供应商。</w:t>
      </w:r>
    </w:p>
    <w:p w14:paraId="08F3C96C">
      <w:pPr>
        <w:tabs>
          <w:tab w:val="left" w:pos="900"/>
        </w:tabs>
        <w:adjustRightInd w:val="0"/>
        <w:snapToGrid w:val="0"/>
        <w:spacing w:line="480" w:lineRule="exact"/>
        <w:ind w:firstLine="480" w:firstLineChars="200"/>
        <w:rPr>
          <w:rFonts w:hint="eastAsia" w:ascii="宋体" w:hAnsi="宋体" w:cs="宋体"/>
          <w:sz w:val="24"/>
        </w:rPr>
      </w:pPr>
      <w:bookmarkStart w:id="95" w:name="_Toc20823304"/>
      <w:bookmarkStart w:id="96" w:name="_Toc16938548"/>
      <w:bookmarkStart w:id="97" w:name="_Toc513029232"/>
      <w:r>
        <w:rPr>
          <w:rFonts w:hint="eastAsia" w:ascii="宋体" w:hAnsi="宋体" w:cs="宋体"/>
          <w:sz w:val="24"/>
          <w:lang w:eastAsia="zh-CN"/>
        </w:rPr>
        <w:t>4.</w:t>
      </w:r>
      <w:r>
        <w:rPr>
          <w:rFonts w:hint="eastAsia" w:ascii="宋体" w:hAnsi="宋体" w:cs="宋体"/>
          <w:sz w:val="24"/>
        </w:rPr>
        <w:t>评审过程的澄清</w:t>
      </w:r>
      <w:bookmarkEnd w:id="95"/>
      <w:bookmarkEnd w:id="96"/>
      <w:bookmarkEnd w:id="97"/>
      <w:r>
        <w:rPr>
          <w:rFonts w:hint="eastAsia" w:ascii="宋体" w:hAnsi="宋体" w:cs="宋体"/>
          <w:sz w:val="24"/>
        </w:rPr>
        <w:t>、说明和更正</w:t>
      </w:r>
    </w:p>
    <w:p w14:paraId="37019ED8">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4.1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595AEDC">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4.2接到磋商小组要求的供应商应派人按磋商小组通知的时间和地点做出书面澄清、说明或更正。供应商的澄清、说明或者更正应当由法定代表人或授权代理人签字或者加盖公章。由授权代理人签字的，应当附法人授权书。供应商为自然人的，应当由本人签字并附身份证明。</w:t>
      </w:r>
    </w:p>
    <w:p w14:paraId="3CD25CCE">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4.3接到磋商小组澄清要求的供应商如未按规定作出澄清，其风险由供应商自行承担。</w:t>
      </w:r>
    </w:p>
    <w:p w14:paraId="4E468626">
      <w:pPr>
        <w:tabs>
          <w:tab w:val="left" w:pos="900"/>
        </w:tabs>
        <w:adjustRightInd w:val="0"/>
        <w:snapToGrid w:val="0"/>
        <w:spacing w:line="480" w:lineRule="exact"/>
        <w:ind w:firstLine="480" w:firstLineChars="200"/>
        <w:rPr>
          <w:rFonts w:hint="eastAsia" w:ascii="宋体" w:hAnsi="宋体" w:cs="宋体"/>
          <w:sz w:val="24"/>
        </w:rPr>
      </w:pPr>
      <w:bookmarkStart w:id="98" w:name="_Toc16938549"/>
      <w:bookmarkStart w:id="99" w:name="_Toc513029233"/>
      <w:bookmarkStart w:id="100" w:name="_Toc20823305"/>
      <w:r>
        <w:rPr>
          <w:rFonts w:hint="eastAsia" w:ascii="宋体" w:hAnsi="宋体" w:cs="宋体"/>
          <w:sz w:val="24"/>
          <w:lang w:eastAsia="zh-CN"/>
        </w:rPr>
        <w:t>5.</w:t>
      </w:r>
      <w:r>
        <w:rPr>
          <w:rFonts w:hint="eastAsia" w:ascii="宋体" w:hAnsi="宋体" w:cs="宋体"/>
          <w:sz w:val="24"/>
        </w:rPr>
        <w:t>对响应文件的初审</w:t>
      </w:r>
      <w:bookmarkEnd w:id="98"/>
      <w:bookmarkEnd w:id="99"/>
      <w:bookmarkEnd w:id="100"/>
    </w:p>
    <w:p w14:paraId="4DDE0BDA">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5.1响应文件初审分为资格性检查和符合性检查。</w:t>
      </w:r>
    </w:p>
    <w:p w14:paraId="0862611F">
      <w:pPr>
        <w:tabs>
          <w:tab w:val="left" w:pos="900"/>
        </w:tabs>
        <w:adjustRightInd w:val="0"/>
        <w:snapToGrid w:val="0"/>
        <w:spacing w:line="480" w:lineRule="exact"/>
        <w:ind w:firstLine="480" w:firstLineChars="200"/>
        <w:rPr>
          <w:rFonts w:hint="eastAsia" w:ascii="宋体" w:hAnsi="宋体" w:cs="宋体"/>
          <w:b/>
          <w:bCs/>
          <w:sz w:val="24"/>
        </w:rPr>
      </w:pPr>
      <w:r>
        <w:rPr>
          <w:rFonts w:hint="eastAsia" w:ascii="宋体" w:hAnsi="宋体" w:cs="宋体"/>
          <w:sz w:val="24"/>
        </w:rPr>
        <w:t>资格性检查：依据法律法规和磋商文件的规定，对响应文件中的资格审查证明文件等进行审查，以确定供应商是否具备参加磋商的资格。</w:t>
      </w:r>
    </w:p>
    <w:p w14:paraId="04A616E2">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符合性检查：依据磋商文件的规定，从响应文件的有效性、完整性和对磋商文件的响应程度进行审查，以确定是否对磋商文件的实质性要求作出响应。</w:t>
      </w:r>
    </w:p>
    <w:p w14:paraId="22AB5091">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5.2在正式磋商之前，磋商小组将首先审查每份响应文件是否实质性响应了磋商文件的要求。实质性响应的响应文件应该是与磋商文件要求的条款、条件和规格相符，没有重大偏离或保留。</w:t>
      </w:r>
    </w:p>
    <w:p w14:paraId="21A52671">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所谓重大偏离或保留是指与磋商文件规定的实质性要求存在负偏离，或者在实质上与磋商文件不一致，而且限制了合同中买方的权利或供应商的义务，纠正这些偏离或保留将会对其他实质性响应要求的供应商的竞争地位产生不公正的影响。重大偏离由磋商小组按照少数服从多数的原则认定。磋商小组决定响应文件的响应性只根据响应文件本身的内容，而不寻求外部的证据。</w:t>
      </w:r>
    </w:p>
    <w:p w14:paraId="311A3A96">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5.3被认定为未实质性响应磋商文件的响应文件的情形</w:t>
      </w:r>
    </w:p>
    <w:p w14:paraId="52582851">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（1）未按照磋商文件规定要求密封、签署、盖章的；</w:t>
      </w:r>
    </w:p>
    <w:p w14:paraId="2AD87409">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（2）供应商在报价时采用选择性报价；</w:t>
      </w:r>
    </w:p>
    <w:p w14:paraId="19B240B3">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（3）供应商不符合磋商文件中规定的合格磋商供应商资格要求的；</w:t>
      </w:r>
    </w:p>
    <w:p w14:paraId="26A3C0D8">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（4）不符合法律法规和磋商文件中规定的其他实质性要求和条件的（本磋商文件中斜体且有下划线部分为实质性要求和条件）；</w:t>
      </w:r>
    </w:p>
    <w:p w14:paraId="3E718B4C">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（5）其他法律法规及本磋商文件规定的属于未实质性响应的响应文件的情形；</w:t>
      </w:r>
    </w:p>
    <w:p w14:paraId="7ED7BBEE">
      <w:pPr>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（6）供应商被“信用中国”网站（www.creditchina.gov.cn）列入失信被执行人或重大税收违法案件当事人名单或政府采购严重失信行为记录名单。</w:t>
      </w:r>
    </w:p>
    <w:p w14:paraId="371ACD44">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5.4未实质性响应磋商文件的响应文件按无效响应处理，磋商小组将予以拒绝，供应商不得通过修改或撤销不合要求的偏离或保留而使其响应文件成为实质性响应的文件。</w:t>
      </w:r>
    </w:p>
    <w:p w14:paraId="70C1CC69">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5.5磋商小组将允许修正响应文件中不构成重大负偏离的、微小的、非正规的、不一致的或不规则的地方，但这些修改不能影响任何供应商相应的名次排列。</w:t>
      </w:r>
    </w:p>
    <w:p w14:paraId="64B001DF">
      <w:pPr>
        <w:tabs>
          <w:tab w:val="left" w:pos="900"/>
        </w:tabs>
        <w:adjustRightInd w:val="0"/>
        <w:snapToGrid w:val="0"/>
        <w:spacing w:line="480" w:lineRule="exact"/>
        <w:ind w:firstLine="480" w:firstLineChars="200"/>
        <w:rPr>
          <w:rFonts w:hint="eastAsia" w:ascii="宋体" w:hAnsi="宋体" w:cs="宋体"/>
          <w:sz w:val="24"/>
        </w:rPr>
      </w:pPr>
      <w:bookmarkStart w:id="101" w:name="_Toc16938550"/>
      <w:bookmarkStart w:id="102" w:name="_Toc513029234"/>
      <w:bookmarkStart w:id="103" w:name="_Toc20823306"/>
      <w:r>
        <w:rPr>
          <w:rFonts w:hint="eastAsia" w:ascii="宋体" w:hAnsi="宋体" w:cs="宋体"/>
          <w:sz w:val="24"/>
          <w:lang w:eastAsia="zh-CN"/>
        </w:rPr>
        <w:t>6.</w:t>
      </w:r>
      <w:bookmarkEnd w:id="101"/>
      <w:bookmarkEnd w:id="102"/>
      <w:bookmarkEnd w:id="103"/>
      <w:r>
        <w:rPr>
          <w:rFonts w:hint="eastAsia" w:ascii="宋体" w:hAnsi="宋体" w:cs="宋体"/>
          <w:sz w:val="24"/>
        </w:rPr>
        <w:t>磋商程序及评审方法和标准</w:t>
      </w:r>
    </w:p>
    <w:p w14:paraId="2947F1D3">
      <w:pPr>
        <w:tabs>
          <w:tab w:val="left" w:pos="900"/>
        </w:tabs>
        <w:adjustRightInd w:val="0"/>
        <w:snapToGrid w:val="0"/>
        <w:spacing w:line="480" w:lineRule="exact"/>
        <w:ind w:firstLine="480" w:firstLineChars="200"/>
        <w:rPr>
          <w:rFonts w:hint="eastAsia" w:ascii="宋体" w:hAnsi="宋体" w:cs="宋体"/>
          <w:sz w:val="24"/>
        </w:rPr>
      </w:pPr>
      <w:bookmarkStart w:id="104" w:name="_Toc20823307"/>
      <w:bookmarkStart w:id="105" w:name="_Toc16938551"/>
      <w:bookmarkStart w:id="106" w:name="_Toc513029235"/>
      <w:r>
        <w:rPr>
          <w:rFonts w:hint="eastAsia" w:ascii="宋体" w:hAnsi="宋体" w:cs="宋体"/>
          <w:sz w:val="24"/>
        </w:rPr>
        <w:t>6.1磋商程序</w:t>
      </w:r>
    </w:p>
    <w:p w14:paraId="71A0CC70">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6.1.1对于通过资格性和符合性审查的供应商，磋商小组所有成员将集中与单一供应商分别进行磋商。</w:t>
      </w:r>
      <w:r>
        <w:rPr>
          <w:rFonts w:hint="eastAsia" w:ascii="宋体" w:hAnsi="宋体" w:cs="宋体"/>
          <w:sz w:val="24"/>
          <w:lang w:eastAsia="zh-CN"/>
        </w:rPr>
        <w:t>（</w:t>
      </w:r>
      <w:r>
        <w:rPr>
          <w:rFonts w:hint="eastAsia" w:ascii="宋体" w:hAnsi="宋体" w:cs="宋体"/>
          <w:sz w:val="24"/>
          <w:lang w:val="en-US" w:eastAsia="zh-CN"/>
        </w:rPr>
        <w:t>按现场实际情况执行</w:t>
      </w:r>
      <w:r>
        <w:rPr>
          <w:rFonts w:hint="eastAsia" w:ascii="宋体" w:hAnsi="宋体" w:cs="宋体"/>
          <w:sz w:val="24"/>
          <w:lang w:eastAsia="zh-CN"/>
        </w:rPr>
        <w:t>）</w:t>
      </w:r>
    </w:p>
    <w:p w14:paraId="3F21F89A">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在磋商过程中，磋商小组可能根据磋商文件和磋商情况实质性变动的内容有：采购需求中的技术、服务要求以及合同草案条款。对磋商文件作出的实质性变动是磋商文件的有效组成部分，磋商小组将以书面形式同时通知所有参加磋商的供应商。供应商应当按照磋商文件的变动情况和磋商小组的要求重新提交响应文件，并由其法定代表人或授权代理人签字或签章或加盖公章。</w:t>
      </w:r>
    </w:p>
    <w:p w14:paraId="1FA692F8">
      <w:pPr>
        <w:tabs>
          <w:tab w:val="left" w:pos="900"/>
        </w:tabs>
        <w:adjustRightInd w:val="0"/>
        <w:snapToGrid w:val="0"/>
        <w:spacing w:line="480" w:lineRule="exact"/>
        <w:ind w:firstLine="480" w:firstLineChars="200"/>
        <w:rPr>
          <w:rFonts w:hint="eastAsia" w:ascii="宋体" w:hAnsi="宋体" w:eastAsia="宋体" w:cs="宋体"/>
          <w:color w:val="FF0000"/>
          <w:sz w:val="24"/>
          <w:lang w:eastAsia="zh-CN"/>
        </w:rPr>
      </w:pPr>
      <w:r>
        <w:rPr>
          <w:rFonts w:hint="eastAsia" w:ascii="宋体" w:hAnsi="宋体" w:cs="宋体"/>
          <w:sz w:val="24"/>
        </w:rPr>
        <w:t>6.1.2磋商文件能够详细列明采购标的的技术、服务要求的，磋商结束后，磋商小组将要求所有实质性响应的供</w:t>
      </w:r>
      <w:r>
        <w:rPr>
          <w:rFonts w:hint="eastAsia" w:ascii="宋体" w:hAnsi="宋体" w:cs="宋体"/>
          <w:color w:val="auto"/>
          <w:sz w:val="24"/>
          <w:highlight w:val="none"/>
        </w:rPr>
        <w:t>应商在规定时间内提交最后报价</w:t>
      </w:r>
      <w:r>
        <w:rPr>
          <w:rFonts w:hint="eastAsia" w:ascii="宋体" w:hAnsi="宋体" w:cs="宋体"/>
          <w:color w:val="auto"/>
          <w:sz w:val="24"/>
          <w:highlight w:val="none"/>
          <w:lang w:eastAsia="zh-CN"/>
        </w:rPr>
        <w:t>。</w:t>
      </w:r>
      <w:r>
        <w:rPr>
          <w:rFonts w:hint="eastAsia" w:ascii="宋体" w:hAnsi="宋体" w:eastAsia="宋体" w:cs="宋体"/>
          <w:b/>
          <w:bCs/>
          <w:color w:val="000000"/>
          <w:sz w:val="24"/>
          <w:highlight w:val="none"/>
          <w:lang w:eastAsia="zh-CN"/>
        </w:rPr>
        <w:t>（</w:t>
      </w:r>
      <w:r>
        <w:rPr>
          <w:rFonts w:hint="eastAsia" w:ascii="宋体" w:hAnsi="宋体" w:eastAsia="宋体" w:cs="宋体"/>
          <w:b/>
          <w:bCs/>
          <w:color w:val="000000"/>
          <w:sz w:val="24"/>
          <w:highlight w:val="none"/>
          <w:lang w:val="en-US" w:eastAsia="zh-CN"/>
        </w:rPr>
        <w:t>二次报价函</w:t>
      </w:r>
      <w:r>
        <w:rPr>
          <w:rFonts w:hint="eastAsia" w:ascii="宋体" w:hAnsi="宋体" w:eastAsia="宋体" w:cs="宋体"/>
          <w:b/>
          <w:bCs/>
          <w:color w:val="000000"/>
          <w:sz w:val="24"/>
          <w:highlight w:val="none"/>
          <w:lang w:eastAsia="zh-CN"/>
        </w:rPr>
        <w:t>（最后报价）由供应商自行单独携带</w:t>
      </w:r>
      <w:r>
        <w:rPr>
          <w:rFonts w:hint="eastAsia" w:ascii="宋体" w:hAnsi="宋体" w:eastAsia="宋体" w:cs="宋体"/>
          <w:b/>
          <w:bCs/>
          <w:color w:val="000000"/>
          <w:sz w:val="24"/>
          <w:highlight w:val="none"/>
          <w:lang w:val="en-US" w:eastAsia="zh-CN"/>
        </w:rPr>
        <w:t>并提供</w:t>
      </w:r>
      <w:r>
        <w:rPr>
          <w:rFonts w:hint="eastAsia" w:ascii="宋体" w:hAnsi="宋体" w:eastAsia="宋体" w:cs="宋体"/>
          <w:b/>
          <w:bCs/>
          <w:color w:val="000000"/>
          <w:sz w:val="24"/>
          <w:highlight w:val="none"/>
          <w:lang w:eastAsia="zh-CN"/>
        </w:rPr>
        <w:t>，格式详见</w:t>
      </w:r>
      <w:r>
        <w:rPr>
          <w:rFonts w:hint="eastAsia" w:ascii="宋体" w:hAnsi="宋体" w:eastAsia="宋体" w:cs="宋体"/>
          <w:b/>
          <w:bCs/>
          <w:color w:val="000000"/>
          <w:sz w:val="24"/>
          <w:highlight w:val="none"/>
          <w:lang w:val="en-US" w:eastAsia="zh-CN"/>
        </w:rPr>
        <w:t>第六章  响应文件的组成和格式</w:t>
      </w:r>
      <w:r>
        <w:rPr>
          <w:rFonts w:hint="eastAsia" w:ascii="宋体" w:hAnsi="宋体" w:eastAsia="宋体" w:cs="宋体"/>
          <w:b/>
          <w:bCs/>
          <w:color w:val="000000"/>
          <w:sz w:val="24"/>
          <w:highlight w:val="none"/>
        </w:rPr>
        <w:t>）</w:t>
      </w:r>
    </w:p>
    <w:p w14:paraId="5DFDBAD3">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磋商文件不能详细列明采购标的的技术、服务要求，需经磋商由供应商提供最终实施方案或解决方案的，磋商结束后，磋商小组将按照少数服从多数的原则投票推荐3家以上供应商的实施方案或者解决方案，并要求其在规定时间内提交最后报价。</w:t>
      </w:r>
    </w:p>
    <w:p w14:paraId="7BFCA007">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6.1.3磋商供应商未在磋商小组规定的时间内完成最后报价的视为放弃磋商，其磋商响应按无效响应处理。最后报价须由磋商供应商法定代表人或授权代理人签字或签章</w:t>
      </w:r>
      <w:r>
        <w:rPr>
          <w:rFonts w:hint="eastAsia" w:ascii="宋体" w:hAnsi="宋体" w:cs="宋体"/>
          <w:sz w:val="24"/>
          <w:lang w:val="en-US" w:eastAsia="zh-CN"/>
        </w:rPr>
        <w:t>并</w:t>
      </w:r>
      <w:r>
        <w:rPr>
          <w:rFonts w:hint="eastAsia" w:ascii="宋体" w:hAnsi="宋体" w:cs="宋体"/>
          <w:sz w:val="24"/>
        </w:rPr>
        <w:t>加盖公章。已提交响应文件的供应商，在提交最后报价之前，可以根据磋商情况退出磋商。</w:t>
      </w:r>
    </w:p>
    <w:p w14:paraId="65396578">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6.2评审方法和标准</w:t>
      </w:r>
    </w:p>
    <w:p w14:paraId="39CED59C">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6.2.1评审方法。采用综合评分法对提交最后报价的供应商的响应文件和最后报价进行综合评分。</w:t>
      </w:r>
    </w:p>
    <w:p w14:paraId="4A9F77EF">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综合评分法，是指响应文件满足磋商文件全部实质性要求且按评审因素的量化指标评审得分最高的供应商为成交供应商的评审方法。评审时，磋商小组各成员独立对每个有效响应的文件进行评价、打分，然后汇总每个供应商每项评分因素的得分。</w:t>
      </w:r>
    </w:p>
    <w:p w14:paraId="280892A7">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6.2.2评审标准</w:t>
      </w:r>
    </w:p>
    <w:p w14:paraId="719D90A8">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见本磋商文件第五章规定。</w:t>
      </w:r>
    </w:p>
    <w:p w14:paraId="2911D4E2">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6.3采购活动终止的情况</w:t>
      </w:r>
    </w:p>
    <w:p w14:paraId="16EEB48F">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出现下列情形之一的，本次竞争性磋商采购活动将被终止：</w:t>
      </w:r>
    </w:p>
    <w:p w14:paraId="28DA1ED8">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（1）因情况变化，不再符合规定的竞争性磋商采购人数适用情形的；</w:t>
      </w:r>
    </w:p>
    <w:p w14:paraId="4B3FD6E3">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（2）出现影响采购公正的违法、违规行为的；</w:t>
      </w:r>
    </w:p>
    <w:p w14:paraId="75E1C7D4">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（3）在采购过程中符合要求的供应商或</w:t>
      </w:r>
      <w:r>
        <w:rPr>
          <w:rFonts w:hint="eastAsia" w:ascii="宋体" w:hAnsi="宋体" w:cs="宋体"/>
          <w:color w:val="auto"/>
          <w:sz w:val="24"/>
        </w:rPr>
        <w:t>者报价</w:t>
      </w:r>
      <w:r>
        <w:rPr>
          <w:rFonts w:hint="eastAsia" w:ascii="宋体" w:hAnsi="宋体" w:cs="宋体"/>
          <w:color w:val="auto"/>
          <w:sz w:val="24"/>
          <w:lang w:val="en-US" w:eastAsia="zh-CN"/>
        </w:rPr>
        <w:t>响应收费标准</w:t>
      </w:r>
      <w:r>
        <w:rPr>
          <w:rFonts w:hint="eastAsia" w:ascii="宋体" w:hAnsi="宋体" w:cs="宋体"/>
          <w:color w:val="auto"/>
          <w:sz w:val="24"/>
        </w:rPr>
        <w:t>的</w:t>
      </w:r>
      <w:r>
        <w:rPr>
          <w:rFonts w:hint="eastAsia" w:ascii="宋体" w:hAnsi="宋体" w:cs="宋体"/>
          <w:sz w:val="24"/>
        </w:rPr>
        <w:t>供应商不足3家的。</w:t>
      </w:r>
    </w:p>
    <w:bookmarkEnd w:id="104"/>
    <w:bookmarkEnd w:id="105"/>
    <w:bookmarkEnd w:id="106"/>
    <w:p w14:paraId="02DB430A">
      <w:pPr>
        <w:tabs>
          <w:tab w:val="left" w:pos="900"/>
        </w:tabs>
        <w:adjustRightInd w:val="0"/>
        <w:snapToGrid w:val="0"/>
        <w:spacing w:line="480" w:lineRule="exact"/>
        <w:ind w:firstLine="482" w:firstLineChars="200"/>
        <w:rPr>
          <w:rFonts w:hint="eastAsia" w:ascii="宋体" w:hAnsi="宋体" w:cs="宋体"/>
          <w:b/>
          <w:sz w:val="24"/>
        </w:rPr>
      </w:pPr>
      <w:r>
        <w:rPr>
          <w:rFonts w:hint="eastAsia" w:ascii="宋体" w:hAnsi="宋体" w:cs="宋体"/>
          <w:b/>
          <w:sz w:val="24"/>
        </w:rPr>
        <w:t>五、成交</w:t>
      </w:r>
    </w:p>
    <w:p w14:paraId="1D11E639">
      <w:pPr>
        <w:tabs>
          <w:tab w:val="left" w:pos="900"/>
        </w:tabs>
        <w:adjustRightInd w:val="0"/>
        <w:snapToGrid w:val="0"/>
        <w:spacing w:line="480" w:lineRule="exact"/>
        <w:ind w:firstLine="480" w:firstLineChars="200"/>
        <w:rPr>
          <w:rFonts w:hint="eastAsia" w:ascii="宋体" w:hAnsi="宋体" w:cs="宋体"/>
          <w:sz w:val="24"/>
        </w:rPr>
      </w:pPr>
      <w:bookmarkStart w:id="107" w:name="_Toc513029238"/>
      <w:bookmarkStart w:id="108" w:name="_Toc16938554"/>
      <w:bookmarkStart w:id="109" w:name="_Toc20823310"/>
      <w:r>
        <w:rPr>
          <w:rFonts w:hint="eastAsia" w:ascii="宋体" w:hAnsi="宋体" w:cs="宋体"/>
          <w:sz w:val="24"/>
          <w:lang w:eastAsia="zh-CN"/>
        </w:rPr>
        <w:t>1.</w:t>
      </w:r>
      <w:bookmarkEnd w:id="107"/>
      <w:r>
        <w:rPr>
          <w:rFonts w:hint="eastAsia" w:ascii="宋体" w:hAnsi="宋体" w:cs="宋体"/>
          <w:sz w:val="24"/>
        </w:rPr>
        <w:t>确定</w:t>
      </w:r>
      <w:bookmarkEnd w:id="108"/>
      <w:bookmarkEnd w:id="109"/>
      <w:r>
        <w:rPr>
          <w:rFonts w:hint="eastAsia" w:ascii="宋体" w:hAnsi="宋体" w:cs="宋体"/>
          <w:sz w:val="24"/>
        </w:rPr>
        <w:t>成交单位</w:t>
      </w:r>
    </w:p>
    <w:p w14:paraId="25016174">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1.1磋商小组根据综合评分情况，按照评审得分由高到低顺序推荐3名成交供应商，并编写评审报告。评审得分相同的，</w:t>
      </w:r>
      <w:r>
        <w:rPr>
          <w:rFonts w:hint="eastAsia" w:ascii="宋体" w:hAnsi="宋体" w:cs="宋体"/>
          <w:sz w:val="24"/>
          <w:lang w:val="en-US" w:eastAsia="zh-CN"/>
        </w:rPr>
        <w:t>现场抽签确定排序</w:t>
      </w:r>
      <w:r>
        <w:rPr>
          <w:rFonts w:hint="eastAsia" w:ascii="宋体" w:hAnsi="宋体" w:cs="宋体"/>
          <w:sz w:val="24"/>
        </w:rPr>
        <w:t>。</w:t>
      </w:r>
    </w:p>
    <w:p w14:paraId="3D64F558">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1.2采购人从评审报告提出的成交供应商中，按照排序由高到低的原则确定成交供应商。成交结果确定后，采购人向成交供应商发出成交通知书。</w:t>
      </w:r>
    </w:p>
    <w:p w14:paraId="3E6346CC">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1.3若有充分证据证明，成交供应商出现下列情况之一的，一经查实，将被取消成交资格：</w:t>
      </w:r>
    </w:p>
    <w:p w14:paraId="21CA5AF0">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（1）提供虚假材料谋取成交的；</w:t>
      </w:r>
    </w:p>
    <w:p w14:paraId="79AB3D89">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（2）与评审专家、采购人、其他供应商或者采购人或采购代理工作人员恶意串通的；</w:t>
      </w:r>
    </w:p>
    <w:p w14:paraId="693BA2A2">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（3）向评审专家、采购人或采购代理工作人员行贿或者提供其他不正当利益的；</w:t>
      </w:r>
    </w:p>
    <w:p w14:paraId="7F580EE3">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（4）不满足本磋商文件规定的实质性要求，但在评审过程中又未被磋商小组发现的；</w:t>
      </w:r>
    </w:p>
    <w:p w14:paraId="13CB5FCD">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w:t>
      </w:r>
      <w:r>
        <w:rPr>
          <w:rFonts w:hint="eastAsia" w:ascii="宋体" w:hAnsi="宋体" w:cs="宋体"/>
          <w:sz w:val="24"/>
          <w:lang w:val="en-US" w:eastAsia="zh-CN"/>
        </w:rPr>
        <w:t>5</w:t>
      </w:r>
      <w:r>
        <w:rPr>
          <w:rFonts w:hint="eastAsia" w:ascii="宋体" w:hAnsi="宋体" w:cs="宋体"/>
          <w:sz w:val="24"/>
        </w:rPr>
        <w:t>）成交后无正当理由拒不与采购人签订合同或者未按照磋商文件确定的事项签订合同；</w:t>
      </w:r>
    </w:p>
    <w:p w14:paraId="110D5D74">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w:t>
      </w:r>
      <w:r>
        <w:rPr>
          <w:rFonts w:hint="eastAsia" w:ascii="宋体" w:hAnsi="宋体" w:cs="宋体"/>
          <w:sz w:val="24"/>
          <w:lang w:val="en-US" w:eastAsia="zh-CN"/>
        </w:rPr>
        <w:t>6</w:t>
      </w:r>
      <w:r>
        <w:rPr>
          <w:rFonts w:hint="eastAsia" w:ascii="宋体" w:hAnsi="宋体" w:cs="宋体"/>
          <w:sz w:val="24"/>
        </w:rPr>
        <w:t>）将合同转包；</w:t>
      </w:r>
    </w:p>
    <w:p w14:paraId="43F0E86A">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lang w:eastAsia="zh-CN"/>
        </w:rPr>
        <w:t>2.</w:t>
      </w:r>
      <w:r>
        <w:rPr>
          <w:rFonts w:hint="eastAsia" w:ascii="宋体" w:hAnsi="宋体" w:cs="宋体"/>
          <w:sz w:val="24"/>
        </w:rPr>
        <w:t>质疑处理</w:t>
      </w:r>
    </w:p>
    <w:p w14:paraId="25021DB5">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2.1提出质疑的供应商应当是参与所质疑项目采购活动的供应商。潜在供应商依法获取其可质疑的采购文件的，可以对采购文件提出质疑。</w:t>
      </w:r>
    </w:p>
    <w:p w14:paraId="6F0E00ED">
      <w:pPr>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对项目需求部分的质疑，潜在供应商应向采购人提出，由采购人负责答复。</w:t>
      </w:r>
    </w:p>
    <w:p w14:paraId="4044CE58">
      <w:pPr>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对项目需求部分以外内容的质疑，潜在供应商应向采购人或采购代理提出，由采购人或采购代理负责答复。</w:t>
      </w:r>
    </w:p>
    <w:p w14:paraId="4844A8CE">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2.2供应商认为磋商文件、采购过程和采购结果使自己的权益受到损害的，可以在知道或应知其权益受到损害之日起七个工作日内，以书面形式向采购代理或采购人提出质疑。上述应知其权益受到损害之日，是指：</w:t>
      </w:r>
    </w:p>
    <w:p w14:paraId="0759E461">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（1）对可以质疑的磋商文件提出质疑的，为收到磋商文件之日或者磋商文件公告期限届满之日；</w:t>
      </w:r>
    </w:p>
    <w:p w14:paraId="55A767A3">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（2）对采购过程提出质疑的，为各采购程序环节结束之日；</w:t>
      </w:r>
    </w:p>
    <w:p w14:paraId="7555953F">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（3）对成交结果提出质疑的，为成交结果公告期限届满之日。</w:t>
      </w:r>
    </w:p>
    <w:p w14:paraId="26CED88B">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供应商应当在法定质疑期内一次性提出针对同一采购程序环节的质疑。供应商如在法定期限内对同一采购程序环节提出多次质疑的，采购代理、采购人将只对供应商第一次质疑作出答复。</w:t>
      </w:r>
    </w:p>
    <w:p w14:paraId="0D68007A">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2.3质疑函必须按照本磋商文件中《质疑函范本》要求的格式和内容进行填写。供应商如组成联合体参加磋商，则《质疑函范本》中要求签字、盖章、加盖公章之处，联合体各方均须按要求签字、盖章、加盖公章。</w:t>
      </w:r>
    </w:p>
    <w:p w14:paraId="54CC16AE">
      <w:pPr>
        <w:adjustRightInd w:val="0"/>
        <w:snapToGrid w:val="0"/>
        <w:spacing w:line="480" w:lineRule="exact"/>
        <w:ind w:firstLine="480" w:firstLineChars="200"/>
        <w:rPr>
          <w:rFonts w:hint="eastAsia" w:ascii="宋体" w:hAnsi="宋体" w:cs="宋体"/>
          <w:sz w:val="24"/>
        </w:rPr>
      </w:pPr>
      <w:bookmarkStart w:id="110" w:name="_Toc513029237"/>
      <w:bookmarkStart w:id="111" w:name="_Toc20823309"/>
      <w:bookmarkStart w:id="112" w:name="_Toc16938553"/>
      <w:r>
        <w:rPr>
          <w:rFonts w:hint="eastAsia" w:ascii="宋体" w:hAnsi="宋体" w:cs="宋体"/>
          <w:sz w:val="24"/>
        </w:rPr>
        <w:t>2.4采购代理及采购人只接收以纸质原件形式送达的质疑。</w:t>
      </w:r>
    </w:p>
    <w:p w14:paraId="0EE4A5A0">
      <w:pPr>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2.5以下情形的质疑不予受理</w:t>
      </w:r>
    </w:p>
    <w:p w14:paraId="3A510BCA">
      <w:pPr>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2.5.1内容不符合相关规定的质疑。</w:t>
      </w:r>
    </w:p>
    <w:p w14:paraId="7AC608A3">
      <w:pPr>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2.5.2超出规定期限的质疑。</w:t>
      </w:r>
    </w:p>
    <w:p w14:paraId="25C94344">
      <w:pPr>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2.5.3以传真、电子邮件等方式递交的非原件形式的质疑。</w:t>
      </w:r>
    </w:p>
    <w:p w14:paraId="19039140">
      <w:pPr>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2.5.4未参加磋商活动的供应商或在磋商活动中自身权益未受到损害的供应商所提出的质疑。</w:t>
      </w:r>
    </w:p>
    <w:p w14:paraId="1600AA6F">
      <w:pPr>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2.5.5供应商组成联合体参加磋商，联合体中任何一方或多方未按要求签字、盖章、加盖公章的质疑。</w:t>
      </w:r>
    </w:p>
    <w:p w14:paraId="73EA8899">
      <w:pPr>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2.6供应商提出书面质疑必须有理、有据，不得捏造事实、提供虚假材料进行恶意质疑。否则，一经查实，采购人或采购代理有权依据有关规定，报请相关部门对该供应商进行相应的行政处罚和记录该供应商的失信信息。</w:t>
      </w:r>
    </w:p>
    <w:p w14:paraId="0006C790">
      <w:pPr>
        <w:tabs>
          <w:tab w:val="left" w:pos="900"/>
        </w:tabs>
        <w:adjustRightInd w:val="0"/>
        <w:snapToGrid w:val="0"/>
        <w:spacing w:line="480" w:lineRule="exact"/>
        <w:ind w:firstLine="482" w:firstLineChars="200"/>
        <w:rPr>
          <w:rFonts w:hint="eastAsia" w:ascii="宋体" w:hAnsi="宋体" w:cs="宋体"/>
          <w:b/>
          <w:sz w:val="24"/>
        </w:rPr>
      </w:pPr>
      <w:r>
        <w:rPr>
          <w:rFonts w:hint="eastAsia" w:ascii="宋体" w:hAnsi="宋体" w:cs="宋体"/>
          <w:b/>
          <w:sz w:val="24"/>
        </w:rPr>
        <w:t>六、合同签订相关事项</w:t>
      </w:r>
    </w:p>
    <w:p w14:paraId="2BDDE6F8">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lang w:eastAsia="zh-CN"/>
        </w:rPr>
        <w:t>1.</w:t>
      </w:r>
      <w:r>
        <w:rPr>
          <w:rFonts w:hint="eastAsia" w:ascii="宋体" w:hAnsi="宋体" w:cs="宋体"/>
          <w:sz w:val="24"/>
        </w:rPr>
        <w:t>签订合同</w:t>
      </w:r>
    </w:p>
    <w:p w14:paraId="4949FD5B">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1.l成交供应商应当在成交通知书发出之日起三十日内，按照磋商文件确定的事项与采购人签订采购合同。</w:t>
      </w:r>
    </w:p>
    <w:p w14:paraId="39D26CFF">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1.2磋商文件、成交供应商的响应文件及磋商采购过程中有关澄清、承诺文件均应作为合同附件。</w:t>
      </w:r>
    </w:p>
    <w:p w14:paraId="79A20445">
      <w:pPr>
        <w:tabs>
          <w:tab w:val="left" w:pos="900"/>
        </w:tabs>
        <w:adjustRightInd w:val="0"/>
        <w:snapToGrid w:val="0"/>
        <w:spacing w:line="480" w:lineRule="exact"/>
        <w:ind w:firstLine="480" w:firstLineChars="200"/>
        <w:rPr>
          <w:rFonts w:hint="eastAsia" w:ascii="宋体" w:hAnsi="宋体" w:eastAsia="宋体" w:cs="宋体"/>
          <w:sz w:val="24"/>
        </w:rPr>
      </w:pPr>
      <w:r>
        <w:rPr>
          <w:rFonts w:hint="eastAsia" w:ascii="宋体" w:hAnsi="宋体" w:cs="宋体"/>
          <w:sz w:val="24"/>
        </w:rPr>
        <w:t>1.3签订合同后，</w:t>
      </w:r>
      <w:r>
        <w:rPr>
          <w:rFonts w:hint="eastAsia" w:ascii="宋体" w:hAnsi="宋体" w:cs="宋体"/>
          <w:sz w:val="24"/>
          <w:u w:val="single"/>
        </w:rPr>
        <w:t>成交供应商不得将成交产品或服务进行转包</w:t>
      </w:r>
      <w:r>
        <w:rPr>
          <w:rFonts w:hint="eastAsia" w:ascii="宋体" w:hAnsi="宋体" w:cs="宋体"/>
          <w:sz w:val="24"/>
        </w:rPr>
        <w:t>。未经采购人同意，成交供应商也不得采用分包的形式履行合同，否则采购人有权终止合同，成交供应商</w:t>
      </w:r>
      <w:r>
        <w:rPr>
          <w:rFonts w:hint="eastAsia" w:ascii="宋体" w:hAnsi="宋体" w:eastAsia="宋体" w:cs="宋体"/>
          <w:sz w:val="24"/>
        </w:rPr>
        <w:t>的履约保证金将不予退还。转包或分包造成采购人损失的，成交供应商应承担相应赔偿责任。</w:t>
      </w:r>
    </w:p>
    <w:p w14:paraId="44F039C1">
      <w:pPr>
        <w:tabs>
          <w:tab w:val="left" w:pos="900"/>
        </w:tabs>
        <w:adjustRightInd w:val="0"/>
        <w:snapToGrid w:val="0"/>
        <w:spacing w:line="480" w:lineRule="exact"/>
        <w:ind w:firstLine="480" w:firstLineChars="200"/>
        <w:rPr>
          <w:rFonts w:hint="eastAsia" w:ascii="宋体" w:hAnsi="宋体" w:eastAsia="宋体" w:cs="宋体"/>
          <w:sz w:val="24"/>
        </w:rPr>
      </w:pPr>
      <w:r>
        <w:rPr>
          <w:rFonts w:hint="eastAsia" w:ascii="宋体" w:hAnsi="宋体" w:eastAsia="宋体" w:cs="宋体"/>
          <w:sz w:val="24"/>
          <w:lang w:eastAsia="zh-CN"/>
        </w:rPr>
        <w:t>2.</w:t>
      </w:r>
      <w:r>
        <w:rPr>
          <w:rFonts w:hint="eastAsia" w:ascii="宋体" w:hAnsi="宋体" w:eastAsia="宋体" w:cs="宋体"/>
          <w:sz w:val="24"/>
        </w:rPr>
        <w:t>履约保证金</w:t>
      </w:r>
    </w:p>
    <w:bookmarkEnd w:id="110"/>
    <w:bookmarkEnd w:id="111"/>
    <w:bookmarkEnd w:id="112"/>
    <w:p w14:paraId="4051303C">
      <w:pPr>
        <w:tabs>
          <w:tab w:val="left" w:pos="900"/>
        </w:tabs>
        <w:adjustRightInd w:val="0"/>
        <w:snapToGrid w:val="0"/>
        <w:spacing w:line="480" w:lineRule="exact"/>
        <w:ind w:firstLine="480" w:firstLineChars="200"/>
        <w:rPr>
          <w:rFonts w:hint="eastAsia" w:ascii="宋体" w:hAnsi="宋体" w:cs="宋体"/>
          <w:sz w:val="24"/>
        </w:rPr>
      </w:pPr>
      <w:r>
        <w:rPr>
          <w:rFonts w:hint="eastAsia" w:ascii="宋体" w:hAnsi="宋体" w:eastAsia="宋体" w:cs="宋体"/>
          <w:sz w:val="24"/>
        </w:rPr>
        <w:t>本项目履约保证金的数额为</w:t>
      </w:r>
      <w:r>
        <w:rPr>
          <w:rFonts w:hint="eastAsia" w:ascii="宋体" w:hAnsi="宋体" w:eastAsia="宋体" w:cs="宋体"/>
          <w:b/>
          <w:bCs/>
          <w:color w:val="auto"/>
          <w:sz w:val="24"/>
          <w:highlight w:val="yellow"/>
          <w:lang w:val="en-US" w:eastAsia="zh-CN"/>
        </w:rPr>
        <w:t>成交价10%</w:t>
      </w:r>
      <w:r>
        <w:rPr>
          <w:rFonts w:hint="eastAsia" w:ascii="宋体" w:hAnsi="宋体" w:eastAsia="宋体" w:cs="宋体"/>
          <w:sz w:val="24"/>
        </w:rPr>
        <w:t>。履约保证金在签订合同前缴纳，能按采购文件要求和响应文件服务方案、服务承诺完成的，服务期结束后退还。</w:t>
      </w:r>
      <w:bookmarkStart w:id="113" w:name="_Toc26554097"/>
      <w:bookmarkStart w:id="114" w:name="_Toc23828480"/>
      <w:bookmarkStart w:id="115" w:name="_Toc61149622"/>
    </w:p>
    <w:p w14:paraId="271C64D0">
      <w:pPr>
        <w:pStyle w:val="3"/>
        <w:spacing w:line="360" w:lineRule="auto"/>
        <w:jc w:val="center"/>
        <w:rPr>
          <w:rFonts w:hint="eastAsia" w:ascii="宋体" w:hAnsi="宋体" w:eastAsia="宋体" w:cs="宋体"/>
          <w:b/>
          <w:bCs/>
          <w:sz w:val="32"/>
          <w:szCs w:val="32"/>
        </w:rPr>
      </w:pPr>
      <w:r>
        <w:rPr>
          <w:rFonts w:hint="eastAsia" w:ascii="宋体" w:hAnsi="宋体" w:eastAsia="宋体" w:cs="宋体"/>
          <w:b/>
          <w:bCs/>
          <w:sz w:val="32"/>
          <w:szCs w:val="32"/>
        </w:rPr>
        <w:br w:type="page"/>
      </w:r>
      <w:r>
        <w:rPr>
          <w:rFonts w:hint="eastAsia" w:ascii="宋体" w:hAnsi="宋体" w:eastAsia="宋体" w:cs="宋体"/>
          <w:b/>
          <w:bCs/>
          <w:sz w:val="32"/>
          <w:szCs w:val="32"/>
        </w:rPr>
        <w:t>第三章  合同条款及格式</w:t>
      </w:r>
    </w:p>
    <w:p w14:paraId="25B616F8">
      <w:pPr>
        <w:spacing w:line="360" w:lineRule="auto"/>
        <w:ind w:firstLine="482" w:firstLineChars="200"/>
        <w:jc w:val="center"/>
        <w:rPr>
          <w:rFonts w:hint="eastAsia" w:ascii="宋体" w:hAnsi="宋体" w:cs="宋体"/>
          <w:b/>
          <w:bCs/>
          <w:sz w:val="24"/>
        </w:rPr>
      </w:pPr>
    </w:p>
    <w:p w14:paraId="03CEAAEB">
      <w:pPr>
        <w:jc w:val="center"/>
        <w:outlineLvl w:val="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消防</w:t>
      </w:r>
      <w:r>
        <w:rPr>
          <w:rFonts w:hint="eastAsia" w:ascii="宋体" w:hAnsi="宋体" w:eastAsia="宋体" w:cs="宋体"/>
          <w:b/>
          <w:color w:val="auto"/>
          <w:sz w:val="24"/>
          <w:szCs w:val="24"/>
          <w:highlight w:val="none"/>
          <w:lang w:eastAsia="zh-CN"/>
        </w:rPr>
        <w:t>设施维修保养服务合同</w:t>
      </w:r>
    </w:p>
    <w:p w14:paraId="355E6A12">
      <w:pPr>
        <w:spacing w:before="312" w:beforeLines="100"/>
        <w:ind w:firstLine="482" w:firstLineChars="200"/>
        <w:jc w:val="left"/>
        <w:outlineLvl w:val="9"/>
        <w:rPr>
          <w:rFonts w:hint="eastAsia"/>
          <w:lang w:val="en-US" w:eastAsia="zh-CN"/>
        </w:rPr>
      </w:pPr>
      <w:r>
        <w:rPr>
          <w:rFonts w:hint="eastAsia" w:ascii="Calibri" w:hAnsi="Calibri" w:eastAsia="宋体" w:cs="Times New Roman"/>
          <w:b/>
          <w:sz w:val="24"/>
          <w:szCs w:val="24"/>
        </w:rPr>
        <w:t>甲方：</w:t>
      </w:r>
    </w:p>
    <w:p w14:paraId="504DA69C">
      <w:pPr>
        <w:spacing w:beforeLines="0" w:after="0" w:afterLines="0"/>
        <w:ind w:firstLine="482" w:firstLineChars="200"/>
        <w:jc w:val="left"/>
        <w:outlineLvl w:val="9"/>
        <w:rPr>
          <w:rFonts w:hint="eastAsia" w:ascii="Calibri" w:hAnsi="Calibri" w:eastAsia="宋体" w:cs="Times New Roman"/>
          <w:b/>
          <w:sz w:val="24"/>
          <w:szCs w:val="24"/>
          <w:lang w:eastAsia="zh-CN"/>
        </w:rPr>
      </w:pPr>
      <w:r>
        <w:rPr>
          <w:rFonts w:ascii="Calibri" w:hAnsi="Calibri" w:eastAsia="宋体" w:cs="Times New Roman"/>
          <w:b/>
          <w:sz w:val="24"/>
          <w:szCs w:val="24"/>
        </w:rPr>
        <w:t>乙方</w:t>
      </w:r>
      <w:r>
        <w:rPr>
          <w:rFonts w:hint="eastAsia" w:ascii="Calibri" w:hAnsi="Calibri" w:eastAsia="宋体" w:cs="Times New Roman"/>
          <w:b/>
          <w:sz w:val="24"/>
          <w:szCs w:val="24"/>
        </w:rPr>
        <w:t>：</w:t>
      </w:r>
    </w:p>
    <w:p w14:paraId="682578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乙双方根据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《中华人民</w:t>
      </w:r>
      <w:r>
        <w:rPr>
          <w:rFonts w:hint="eastAsia" w:ascii="宋体" w:hAnsi="宋体" w:eastAsia="宋体" w:cs="宋体"/>
          <w:color w:val="auto"/>
          <w:sz w:val="24"/>
          <w:szCs w:val="24"/>
          <w:highlight w:val="none"/>
          <w:lang w:val="en-US" w:eastAsia="zh-CN"/>
        </w:rPr>
        <w:t>共和国民法典</w:t>
      </w:r>
      <w:r>
        <w:rPr>
          <w:rFonts w:hint="eastAsia" w:ascii="宋体" w:hAnsi="宋体" w:eastAsia="宋体" w:cs="宋体"/>
          <w:color w:val="auto"/>
          <w:sz w:val="24"/>
          <w:szCs w:val="24"/>
          <w:highlight w:val="none"/>
        </w:rPr>
        <w:t>》、《中华人民共和国消防法》</w:t>
      </w:r>
      <w:r>
        <w:rPr>
          <w:rFonts w:hint="eastAsia" w:ascii="宋体" w:hAnsi="宋体" w:eastAsia="宋体" w:cs="宋体"/>
          <w:color w:val="auto"/>
          <w:sz w:val="24"/>
          <w:szCs w:val="24"/>
          <w:highlight w:val="none"/>
          <w:lang w:eastAsia="zh-CN"/>
        </w:rPr>
        <w:t>、《</w:t>
      </w:r>
      <w:r>
        <w:rPr>
          <w:rFonts w:hint="eastAsia" w:ascii="宋体" w:hAnsi="宋体" w:cs="宋体"/>
          <w:i w:val="0"/>
          <w:iCs w:val="0"/>
          <w:color w:val="auto"/>
          <w:sz w:val="24"/>
          <w:szCs w:val="24"/>
          <w:highlight w:val="none"/>
          <w:u w:val="none"/>
          <w:lang w:val="en-US" w:eastAsia="zh-CN"/>
        </w:rPr>
        <w:t>江苏</w:t>
      </w:r>
      <w:r>
        <w:rPr>
          <w:rFonts w:hint="eastAsia" w:ascii="宋体" w:hAnsi="宋体" w:eastAsia="宋体" w:cs="宋体"/>
          <w:i w:val="0"/>
          <w:iCs w:val="0"/>
          <w:color w:val="auto"/>
          <w:sz w:val="24"/>
          <w:szCs w:val="24"/>
          <w:highlight w:val="none"/>
          <w:u w:val="none"/>
          <w:lang w:val="en-US" w:eastAsia="zh-CN"/>
        </w:rPr>
        <w:t>省</w:t>
      </w:r>
      <w:r>
        <w:rPr>
          <w:rFonts w:hint="eastAsia" w:ascii="宋体" w:hAnsi="宋体" w:eastAsia="宋体" w:cs="宋体"/>
          <w:i w:val="0"/>
          <w:iCs w:val="0"/>
          <w:color w:val="auto"/>
          <w:sz w:val="24"/>
          <w:szCs w:val="24"/>
          <w:highlight w:val="none"/>
          <w:u w:val="none"/>
          <w:lang w:eastAsia="zh-CN"/>
        </w:rPr>
        <w:t>消防条例</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等相关法律</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法规</w:t>
      </w:r>
      <w:r>
        <w:rPr>
          <w:rFonts w:hint="eastAsia" w:ascii="宋体" w:hAnsi="宋体" w:eastAsia="宋体" w:cs="宋体"/>
          <w:color w:val="auto"/>
          <w:sz w:val="24"/>
          <w:szCs w:val="24"/>
          <w:highlight w:val="none"/>
          <w:lang w:val="en-US" w:eastAsia="zh-CN"/>
        </w:rPr>
        <w:t>规定</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现就乙方向甲方提供建筑消防设施维护保养（以下简称维保）和检测服务的有关事宜，达成如下合同</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以资</w:t>
      </w:r>
      <w:r>
        <w:rPr>
          <w:rFonts w:hint="eastAsia" w:ascii="宋体" w:hAnsi="宋体" w:eastAsia="宋体" w:cs="宋体"/>
          <w:color w:val="auto"/>
          <w:sz w:val="24"/>
          <w:szCs w:val="24"/>
          <w:highlight w:val="none"/>
        </w:rPr>
        <w:t>共同遵守：</w:t>
      </w:r>
    </w:p>
    <w:p w14:paraId="1285D27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lang w:eastAsia="zh-CN"/>
        </w:rPr>
        <w:t>服务事项</w:t>
      </w:r>
    </w:p>
    <w:p w14:paraId="670B792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宋体" w:hAnsi="宋体" w:eastAsia="宋体" w:cs="宋体"/>
          <w:i/>
          <w:iCs/>
          <w:color w:val="auto"/>
          <w:sz w:val="24"/>
          <w:szCs w:val="24"/>
          <w:highlight w:val="none"/>
          <w:u w:val="single"/>
          <w:lang w:val="en-US" w:eastAsia="zh-CN"/>
        </w:rPr>
      </w:pPr>
      <w:r>
        <w:rPr>
          <w:rFonts w:hint="eastAsia" w:ascii="宋体" w:hAnsi="宋体" w:eastAsia="宋体" w:cs="宋体"/>
          <w:b/>
          <w:bCs/>
          <w:color w:val="auto"/>
          <w:sz w:val="24"/>
          <w:szCs w:val="24"/>
          <w:highlight w:val="none"/>
          <w:lang w:eastAsia="zh-CN"/>
        </w:rPr>
        <w:t>（一）服务项目</w:t>
      </w:r>
      <w:r>
        <w:rPr>
          <w:rFonts w:hint="eastAsia" w:ascii="宋体" w:hAnsi="宋体" w:eastAsia="宋体" w:cs="宋体"/>
          <w:b/>
          <w:bCs/>
          <w:color w:val="auto"/>
          <w:sz w:val="24"/>
          <w:szCs w:val="24"/>
          <w:highlight w:val="none"/>
          <w:lang w:val="en-US" w:eastAsia="zh-CN"/>
        </w:rPr>
        <w:t>：金东邻里中心消防维保项目</w:t>
      </w:r>
    </w:p>
    <w:p w14:paraId="7D1821C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维修保养范围：乙方负责下列建筑消防设施的维修保养技术服务：</w:t>
      </w:r>
    </w:p>
    <w:p w14:paraId="04F129A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1、消防供配电设施；2、火灾自动报警系统；3、电气火灾监控系统；4、可燃气体探测报警系统；5、消防供水设施；6、消火栓（消防炮）灭火系统；7、自动喷水灭火系统；8、干式自动喷水灭火系统；9、预作用</w:t>
      </w:r>
      <w:r>
        <w:rPr>
          <w:rFonts w:hint="eastAsia" w:ascii="宋体" w:hAnsi="宋体" w:cs="宋体"/>
          <w:b w:val="0"/>
          <w:bCs w:val="0"/>
          <w:color w:val="auto"/>
          <w:sz w:val="24"/>
          <w:szCs w:val="24"/>
          <w:highlight w:val="none"/>
          <w:lang w:val="en-US" w:eastAsia="zh-CN"/>
        </w:rPr>
        <w:t>灭火</w:t>
      </w:r>
      <w:r>
        <w:rPr>
          <w:rFonts w:hint="eastAsia" w:ascii="宋体" w:hAnsi="宋体" w:eastAsia="宋体" w:cs="宋体"/>
          <w:b w:val="0"/>
          <w:bCs w:val="0"/>
          <w:color w:val="auto"/>
          <w:sz w:val="24"/>
          <w:szCs w:val="24"/>
          <w:highlight w:val="none"/>
          <w:lang w:val="en-US" w:eastAsia="zh-CN"/>
        </w:rPr>
        <w:t>系统；10、细水雾灭火系统；11、干粉灭火系统；12、泡沫灭火系统；13、气体灭火系统；14、防烟、排烟系统；15、应急照明和疏散指示标识；16、应急广播系统；17、消防专用电话；18、防火分隔设施；19、消防电梯；20、灭火器维护及欠压充装；21、微型消防站巡检维护及失效器材更新；22、1000元/次（含本数）以下的消防零星维修，不限次数；23、其他建筑消防设施。</w:t>
      </w:r>
    </w:p>
    <w:p w14:paraId="085F0A6D">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eastAsia="zh-CN"/>
        </w:rPr>
        <w:t>服务</w:t>
      </w:r>
      <w:r>
        <w:rPr>
          <w:rFonts w:hint="eastAsia" w:ascii="宋体" w:hAnsi="宋体" w:eastAsia="宋体" w:cs="宋体"/>
          <w:b/>
          <w:bCs/>
          <w:color w:val="auto"/>
          <w:sz w:val="24"/>
          <w:szCs w:val="24"/>
          <w:highlight w:val="none"/>
          <w:lang w:val="en-US" w:eastAsia="zh-CN"/>
        </w:rPr>
        <w:t>内容</w:t>
      </w:r>
    </w:p>
    <w:p w14:paraId="3811898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1.承接服务。</w:t>
      </w:r>
      <w:r>
        <w:rPr>
          <w:rFonts w:hint="eastAsia" w:ascii="宋体" w:hAnsi="宋体" w:eastAsia="宋体" w:cs="宋体"/>
          <w:color w:val="auto"/>
          <w:sz w:val="24"/>
          <w:szCs w:val="24"/>
          <w:highlight w:val="none"/>
          <w:lang w:val="en-US" w:eastAsia="zh-CN"/>
        </w:rPr>
        <w:t>乙方</w:t>
      </w:r>
      <w:r>
        <w:rPr>
          <w:rFonts w:hint="eastAsia" w:ascii="宋体" w:hAnsi="宋体" w:eastAsia="宋体" w:cs="宋体"/>
          <w:b w:val="0"/>
          <w:bCs w:val="0"/>
          <w:color w:val="auto"/>
          <w:sz w:val="24"/>
          <w:szCs w:val="24"/>
          <w:highlight w:val="none"/>
          <w:lang w:val="en-US" w:eastAsia="zh-CN"/>
        </w:rPr>
        <w:t>在本合同签订前，应当与甲方共同确定《建筑消防设施维护保养服务清单》，明确服务项目建筑消防设施（以下简称项目消防设施）名称、维保周期和内容，经双方盖章确认后，作为本合同附件；乙方在本合同签订后一个月内，应当对项目消防设施进行一次全面检测，向甲方提交项目消防设施检测报告。</w:t>
      </w:r>
    </w:p>
    <w:p w14:paraId="1429141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2.日常服务。乙方应当向甲方提供以下日常服务：</w:t>
      </w:r>
    </w:p>
    <w:p w14:paraId="278105A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（1）对甲方消防设施维护管理、更新改造和二次装修现场消防设施拆除、安装等提供专业咨询服务（含派人到现场进行检查、指导等）；</w:t>
      </w:r>
    </w:p>
    <w:p w14:paraId="635F5F4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（2）每年对甲方消防设施值班和管理人员提供至少二次的专业培训，参加至少二次甲方组织的相关应急演练；</w:t>
      </w:r>
    </w:p>
    <w:p w14:paraId="22245DE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w:t>
      </w:r>
      <w:r>
        <w:rPr>
          <w:rFonts w:hint="eastAsia" w:ascii="宋体" w:hAnsi="宋体" w:cs="宋体"/>
          <w:b w:val="0"/>
          <w:bCs w:val="0"/>
          <w:color w:val="auto"/>
          <w:sz w:val="24"/>
          <w:szCs w:val="24"/>
          <w:highlight w:val="none"/>
          <w:lang w:val="en-US" w:eastAsia="zh-CN"/>
        </w:rPr>
        <w:t>配合</w:t>
      </w:r>
      <w:r>
        <w:rPr>
          <w:rFonts w:hint="eastAsia" w:ascii="宋体" w:hAnsi="宋体" w:eastAsia="宋体" w:cs="宋体"/>
          <w:b w:val="0"/>
          <w:bCs w:val="0"/>
          <w:color w:val="auto"/>
          <w:sz w:val="24"/>
          <w:szCs w:val="24"/>
          <w:highlight w:val="none"/>
          <w:lang w:val="en-US" w:eastAsia="zh-CN"/>
        </w:rPr>
        <w:t>参与甲方组织的新项目开业消防设施检查、检测活动；</w:t>
      </w:r>
    </w:p>
    <w:p w14:paraId="119DBE6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（4）重要节假日、重大活动等按甲方需要或者政府有关部门指令增加提供维保、检测服务。</w:t>
      </w:r>
    </w:p>
    <w:p w14:paraId="278DC2F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3.定期服务。乙方应当对项目消防设施每月提供至少一次维保服务</w:t>
      </w:r>
      <w:r>
        <w:rPr>
          <w:rFonts w:hint="eastAsia" w:ascii="宋体" w:hAnsi="宋体" w:cs="宋体"/>
          <w:b w:val="0"/>
          <w:bCs w:val="0"/>
          <w:color w:val="auto"/>
          <w:sz w:val="24"/>
          <w:szCs w:val="24"/>
          <w:highlight w:val="none"/>
          <w:lang w:val="en-US" w:eastAsia="zh-CN"/>
        </w:rPr>
        <w:t>，每月抽检点位不少于项目点位10%，</w:t>
      </w:r>
      <w:r>
        <w:rPr>
          <w:rFonts w:hint="eastAsia" w:ascii="宋体" w:hAnsi="宋体" w:eastAsia="宋体" w:cs="宋体"/>
          <w:b w:val="0"/>
          <w:bCs w:val="0"/>
          <w:color w:val="auto"/>
          <w:sz w:val="24"/>
          <w:szCs w:val="24"/>
          <w:highlight w:val="none"/>
          <w:lang w:val="en-US" w:eastAsia="zh-CN"/>
        </w:rPr>
        <w:t>每年提供至少一次</w:t>
      </w:r>
      <w:r>
        <w:rPr>
          <w:rFonts w:hint="eastAsia" w:ascii="宋体" w:hAnsi="宋体" w:cs="宋体"/>
          <w:b w:val="0"/>
          <w:bCs w:val="0"/>
          <w:color w:val="auto"/>
          <w:sz w:val="24"/>
          <w:szCs w:val="24"/>
          <w:highlight w:val="none"/>
          <w:lang w:val="en-US" w:eastAsia="zh-CN"/>
        </w:rPr>
        <w:t>项目消防监测点位全覆盖</w:t>
      </w:r>
      <w:r>
        <w:rPr>
          <w:rFonts w:hint="eastAsia" w:ascii="宋体" w:hAnsi="宋体" w:eastAsia="宋体" w:cs="宋体"/>
          <w:b w:val="0"/>
          <w:bCs w:val="0"/>
          <w:color w:val="auto"/>
          <w:sz w:val="24"/>
          <w:szCs w:val="24"/>
          <w:highlight w:val="none"/>
          <w:lang w:val="en-US" w:eastAsia="zh-CN"/>
        </w:rPr>
        <w:t>检测服务。</w:t>
      </w:r>
    </w:p>
    <w:p w14:paraId="7F42074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4.退出服务。乙方应当在本合同到期前一个月内，组织对项目消防设施进行一次全面检测，向甲方提交项目消防设施检测报告。</w:t>
      </w:r>
    </w:p>
    <w:p w14:paraId="3311F5C0">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（三）服务标准</w:t>
      </w:r>
    </w:p>
    <w:p w14:paraId="77AA585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color w:val="auto"/>
          <w:sz w:val="24"/>
          <w:szCs w:val="24"/>
          <w:highlight w:val="none"/>
          <w:lang w:val="en-US" w:eastAsia="zh-CN"/>
        </w:rPr>
        <w:t>乙方开展项目消防设施维保服务</w:t>
      </w:r>
      <w:r>
        <w:rPr>
          <w:rFonts w:hint="eastAsia" w:ascii="宋体" w:hAnsi="宋体" w:eastAsia="宋体" w:cs="宋体"/>
          <w:b w:val="0"/>
          <w:bCs w:val="0"/>
          <w:sz w:val="24"/>
          <w:szCs w:val="24"/>
          <w:highlight w:val="none"/>
          <w:lang w:val="en-US" w:eastAsia="zh-CN"/>
        </w:rPr>
        <w:t>，同时</w:t>
      </w:r>
      <w:r>
        <w:rPr>
          <w:rFonts w:hint="eastAsia" w:ascii="宋体" w:hAnsi="宋体" w:eastAsia="宋体" w:cs="宋体"/>
          <w:b w:val="0"/>
          <w:bCs w:val="0"/>
          <w:sz w:val="24"/>
          <w:szCs w:val="24"/>
          <w:lang w:val="en-US" w:eastAsia="zh-CN"/>
        </w:rPr>
        <w:t>符合下列工作要求：</w:t>
      </w:r>
    </w:p>
    <w:p w14:paraId="582A74B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1.对项目消防设施组件的外观和工作状态进行检查，对存在破损、变形、锈蚀、渗漏等情况的，及时采取修理、更换、除锈等措施恢复正常。</w:t>
      </w:r>
    </w:p>
    <w:p w14:paraId="72F6AE9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2.对项目消防设施线路、管道、阀门及控制阀门的铅封、锁链等进行检查，对存在破损、松动、锈蚀、渗漏等情况的，及时采取补漏、紧固、除锈、刷漆、润滑、更换等措施，恢复正常。</w:t>
      </w:r>
    </w:p>
    <w:p w14:paraId="1B8B94F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3.定期对项目消防设施进行功能测试，其维保周期和内容不应低于本合同</w:t>
      </w:r>
      <w:r>
        <w:rPr>
          <w:rFonts w:hint="eastAsia" w:ascii="宋体" w:hAnsi="宋体" w:eastAsia="宋体" w:cs="宋体"/>
          <w:b w:val="0"/>
          <w:bCs w:val="0"/>
          <w:color w:val="auto"/>
          <w:sz w:val="24"/>
          <w:szCs w:val="24"/>
          <w:highlight w:val="none"/>
          <w:shd w:val="clear"/>
          <w:lang w:val="en-US" w:eastAsia="zh-CN"/>
        </w:rPr>
        <w:t>附件</w:t>
      </w:r>
      <w:r>
        <w:rPr>
          <w:rFonts w:hint="default" w:ascii="宋体" w:hAnsi="宋体" w:eastAsia="宋体" w:cs="宋体"/>
          <w:b w:val="0"/>
          <w:bCs w:val="0"/>
          <w:color w:val="auto"/>
          <w:sz w:val="24"/>
          <w:szCs w:val="24"/>
          <w:highlight w:val="none"/>
          <w:shd w:val="clear"/>
          <w:lang w:val="en-US" w:eastAsia="zh-CN"/>
        </w:rPr>
        <w:t>1</w:t>
      </w:r>
      <w:r>
        <w:rPr>
          <w:rFonts w:hint="eastAsia" w:ascii="宋体" w:hAnsi="宋体" w:cs="宋体"/>
          <w:b w:val="0"/>
          <w:bCs w:val="0"/>
          <w:color w:val="auto"/>
          <w:sz w:val="24"/>
          <w:szCs w:val="24"/>
          <w:highlight w:val="none"/>
          <w:shd w:val="clear"/>
          <w:lang w:val="en-US" w:eastAsia="zh-CN"/>
        </w:rPr>
        <w:t>、2</w:t>
      </w:r>
      <w:r>
        <w:rPr>
          <w:rFonts w:hint="eastAsia" w:ascii="宋体" w:hAnsi="宋体" w:eastAsia="宋体" w:cs="宋体"/>
          <w:b w:val="0"/>
          <w:bCs w:val="0"/>
          <w:color w:val="auto"/>
          <w:sz w:val="24"/>
          <w:szCs w:val="24"/>
          <w:highlight w:val="none"/>
          <w:lang w:val="en-US" w:eastAsia="zh-CN"/>
        </w:rPr>
        <w:t>的规定。对经测试达不到工作标准的，应当及时查找原因并采取相应措施予以消除，确保消防设施处于正常工作状态。</w:t>
      </w:r>
    </w:p>
    <w:p w14:paraId="66D0C3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4.每年依据国家消防规范要求对项目消防设施全覆盖维护保养。</w:t>
      </w:r>
    </w:p>
    <w:p w14:paraId="00A2109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5.火灾探测报警产品的维保应当按照【GB 29837】的规定执行，维保作业完成后应按规定接入复检；需维修、报废的灭火器应当由取得灭火器维修资质的单位进行处理。</w:t>
      </w:r>
    </w:p>
    <w:p w14:paraId="402EC94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6.乙方对项目消防设施进行检查、测试时，应当及时、客观、真实、完整地进行记录，其服务记录应当提交甲方和政府有关部门审核、备案（记录格式、备案，以政府有关部门要求为准）。主要记录包括：</w:t>
      </w:r>
    </w:p>
    <w:p w14:paraId="5E5F300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（1）对日常检查、测试的情况，应当填写《</w:t>
      </w:r>
      <w:r>
        <w:rPr>
          <w:rFonts w:hint="eastAsia" w:ascii="宋体" w:hAnsi="宋体" w:eastAsia="宋体" w:cs="宋体"/>
          <w:b w:val="0"/>
          <w:bCs w:val="0"/>
          <w:color w:val="auto"/>
          <w:sz w:val="24"/>
          <w:szCs w:val="24"/>
          <w:highlight w:val="none"/>
        </w:rPr>
        <w:t>建筑消防设施维护保养</w:t>
      </w:r>
      <w:r>
        <w:rPr>
          <w:rFonts w:hint="eastAsia" w:ascii="宋体" w:hAnsi="宋体" w:eastAsia="宋体" w:cs="宋体"/>
          <w:b w:val="0"/>
          <w:bCs w:val="0"/>
          <w:color w:val="auto"/>
          <w:sz w:val="24"/>
          <w:szCs w:val="24"/>
          <w:highlight w:val="none"/>
          <w:lang w:val="en-US" w:eastAsia="zh-CN"/>
        </w:rPr>
        <w:t>测试检查</w:t>
      </w:r>
      <w:r>
        <w:rPr>
          <w:rFonts w:hint="eastAsia" w:ascii="宋体" w:hAnsi="宋体" w:eastAsia="宋体" w:cs="宋体"/>
          <w:b w:val="0"/>
          <w:bCs w:val="0"/>
          <w:color w:val="auto"/>
          <w:sz w:val="24"/>
          <w:szCs w:val="24"/>
          <w:highlight w:val="none"/>
        </w:rPr>
        <w:t>记录表</w:t>
      </w:r>
      <w:r>
        <w:rPr>
          <w:rFonts w:hint="eastAsia" w:ascii="宋体" w:hAnsi="宋体" w:eastAsia="宋体" w:cs="宋体"/>
          <w:b w:val="0"/>
          <w:bCs w:val="0"/>
          <w:color w:val="auto"/>
          <w:sz w:val="24"/>
          <w:szCs w:val="24"/>
          <w:highlight w:val="none"/>
          <w:lang w:val="en-US" w:eastAsia="zh-CN"/>
        </w:rPr>
        <w:t>》，并编制《月度建筑消防设施维护保养报告》。</w:t>
      </w:r>
    </w:p>
    <w:p w14:paraId="364040D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（2）对年度等检测的情况，应当编制年度《建筑消防设施检测报告书》。</w:t>
      </w:r>
    </w:p>
    <w:p w14:paraId="5B44F0E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（3）对发现的问题和故障，应当组织维修，填写《建筑消防设施故障维修记录表》。</w:t>
      </w:r>
    </w:p>
    <w:p w14:paraId="0752052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7.如乙方提供驻场服务，则驻场人员应具备从业资质，服从乙方及甲方项目现场的管理规定，并按照合同约定完成现场维保工作，确保维保范围内的设施设备正常运行，驻场费用已包含在维保费中。</w:t>
      </w:r>
    </w:p>
    <w:p w14:paraId="549D687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8.</w:t>
      </w:r>
      <w:r>
        <w:rPr>
          <w:rFonts w:hint="eastAsia" w:ascii="宋体" w:hAnsi="宋体"/>
          <w:b w:val="0"/>
          <w:bCs w:val="0"/>
          <w:sz w:val="24"/>
          <w:szCs w:val="24"/>
          <w:lang w:val="en-US" w:eastAsia="zh-CN"/>
        </w:rPr>
        <w:t>如甲方在客户或相关方组织的服务评价中（包括但不限于满意度调查，</w:t>
      </w:r>
      <w:r>
        <w:rPr>
          <w:rFonts w:hint="eastAsia" w:ascii="宋体" w:hAnsi="宋体"/>
          <w:sz w:val="24"/>
          <w:szCs w:val="24"/>
          <w:lang w:val="en-US" w:eastAsia="zh-CN"/>
        </w:rPr>
        <w:t>神秘访客调查等）获得负面评价</w:t>
      </w:r>
      <w:r>
        <w:rPr>
          <w:rFonts w:hint="eastAsia" w:ascii="宋体" w:hAnsi="宋体"/>
          <w:b w:val="0"/>
          <w:bCs w:val="0"/>
          <w:sz w:val="24"/>
          <w:szCs w:val="24"/>
          <w:lang w:val="en-US" w:eastAsia="zh-CN"/>
        </w:rPr>
        <w:t>，或收到客户或相关方口头、电话或书面投诉，经甲方判定确认与乙方服务内容相关的，甲方有权</w:t>
      </w:r>
      <w:r>
        <w:rPr>
          <w:rFonts w:hint="eastAsia" w:ascii="宋体" w:hAnsi="宋体"/>
          <w:sz w:val="24"/>
          <w:szCs w:val="24"/>
        </w:rPr>
        <w:t>扣减</w:t>
      </w:r>
      <w:r>
        <w:rPr>
          <w:rFonts w:hint="eastAsia" w:ascii="宋体" w:hAnsi="宋体"/>
          <w:sz w:val="24"/>
          <w:szCs w:val="24"/>
          <w:lang w:val="en-US" w:eastAsia="zh-CN"/>
        </w:rPr>
        <w:t>乙方履约保证金或当期维保费用，同时有权</w:t>
      </w:r>
      <w:r>
        <w:rPr>
          <w:rFonts w:hint="eastAsia" w:ascii="宋体" w:hAnsi="宋体"/>
          <w:sz w:val="24"/>
          <w:szCs w:val="24"/>
        </w:rPr>
        <w:t>要求乙方</w:t>
      </w:r>
      <w:r>
        <w:rPr>
          <w:rFonts w:hint="eastAsia" w:ascii="宋体" w:hAnsi="宋体"/>
          <w:sz w:val="24"/>
          <w:szCs w:val="24"/>
          <w:lang w:val="en-US" w:eastAsia="zh-CN"/>
        </w:rPr>
        <w:t>立即</w:t>
      </w:r>
      <w:r>
        <w:rPr>
          <w:rFonts w:hint="eastAsia" w:ascii="宋体" w:hAnsi="宋体"/>
          <w:sz w:val="24"/>
          <w:szCs w:val="24"/>
        </w:rPr>
        <w:t>整改</w:t>
      </w:r>
      <w:r>
        <w:rPr>
          <w:rFonts w:hint="eastAsia" w:ascii="宋体" w:hAnsi="宋体"/>
          <w:sz w:val="24"/>
          <w:szCs w:val="24"/>
          <w:lang w:eastAsia="zh-CN"/>
        </w:rPr>
        <w:t>，</w:t>
      </w:r>
      <w:r>
        <w:rPr>
          <w:rFonts w:hint="eastAsia" w:ascii="宋体" w:hAnsi="宋体"/>
          <w:sz w:val="24"/>
          <w:szCs w:val="24"/>
          <w:lang w:val="en-US" w:eastAsia="zh-CN"/>
        </w:rPr>
        <w:t>如扣减金额不足以弥补甲方损失的，乙方仍应承担赔偿责任</w:t>
      </w:r>
      <w:r>
        <w:rPr>
          <w:rFonts w:hint="eastAsia" w:ascii="宋体" w:hAnsi="宋体"/>
          <w:b w:val="0"/>
          <w:bCs w:val="0"/>
          <w:sz w:val="24"/>
          <w:szCs w:val="24"/>
          <w:lang w:val="en-US" w:eastAsia="zh-CN"/>
        </w:rPr>
        <w:t>。</w:t>
      </w:r>
    </w:p>
    <w:p w14:paraId="0BA1809E">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（四）服务质量</w:t>
      </w:r>
    </w:p>
    <w:p w14:paraId="7EA2BC8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乙方应当按照【《建筑消防设施的维护管理》(GB25201)】等国家标准、行业标准规定的维保方式、方法、内容、程序、技术标准要求，开展消防设施维保服务，保证经过维保的项目消防设施的质量符合国家、地方政府和行业标准。</w:t>
      </w:r>
    </w:p>
    <w:p w14:paraId="12B4E0B8">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（五）服务期限</w:t>
      </w:r>
    </w:p>
    <w:p w14:paraId="1838A37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1.服务期限自【  】年【  】月【  】日【  】时起至【  】年【  】月【  】日【  】时止。</w:t>
      </w:r>
    </w:p>
    <w:p w14:paraId="1699452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2.若合同期内乙方服务达标、无重大违约情形，并且</w:t>
      </w:r>
      <w:r>
        <w:rPr>
          <w:rFonts w:hint="eastAsia" w:ascii="宋体" w:hAnsi="宋体" w:cs="宋体"/>
          <w:b w:val="0"/>
          <w:bCs w:val="0"/>
          <w:color w:val="auto"/>
          <w:sz w:val="24"/>
          <w:szCs w:val="24"/>
          <w:highlight w:val="none"/>
          <w:lang w:val="en-US" w:eastAsia="zh-CN"/>
        </w:rPr>
        <w:t>季度考核</w:t>
      </w:r>
      <w:r>
        <w:rPr>
          <w:rFonts w:hint="eastAsia" w:ascii="宋体" w:hAnsi="宋体" w:eastAsia="宋体" w:cs="宋体"/>
          <w:b w:val="0"/>
          <w:bCs w:val="0"/>
          <w:color w:val="auto"/>
          <w:sz w:val="24"/>
          <w:szCs w:val="24"/>
          <w:highlight w:val="none"/>
          <w:lang w:val="en-US" w:eastAsia="zh-CN"/>
        </w:rPr>
        <w:t>评价达到</w:t>
      </w:r>
      <w:r>
        <w:rPr>
          <w:rFonts w:hint="eastAsia" w:ascii="宋体" w:hAnsi="宋体" w:cs="宋体"/>
          <w:b w:val="0"/>
          <w:bCs w:val="0"/>
          <w:color w:val="auto"/>
          <w:sz w:val="24"/>
          <w:szCs w:val="24"/>
          <w:highlight w:val="none"/>
          <w:lang w:val="en-US" w:eastAsia="zh-CN"/>
        </w:rPr>
        <w:t>90分</w:t>
      </w:r>
      <w:r>
        <w:rPr>
          <w:rFonts w:hint="eastAsia" w:ascii="宋体" w:hAnsi="宋体" w:eastAsia="宋体" w:cs="宋体"/>
          <w:b w:val="0"/>
          <w:bCs w:val="0"/>
          <w:color w:val="auto"/>
          <w:sz w:val="24"/>
          <w:szCs w:val="24"/>
          <w:highlight w:val="none"/>
          <w:lang w:val="en-US" w:eastAsia="zh-CN"/>
        </w:rPr>
        <w:t>及以上，则合同期限届满后，甲方可根据实际情况选择与乙方续签合同，续签合同的有效期不超过上一期合同。</w:t>
      </w:r>
    </w:p>
    <w:p w14:paraId="3A5C501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3.本合同履行过程中，如甲方与【业主方】签订的 《物业服务合同》提前终止或解除的，则本合同同步终止或解除，甲乙双方互不承担违约责任。</w:t>
      </w:r>
    </w:p>
    <w:p w14:paraId="4300B707">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二、服务实施</w:t>
      </w:r>
    </w:p>
    <w:p w14:paraId="224031A5">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1"/>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（一）服务计划</w:t>
      </w:r>
    </w:p>
    <w:p w14:paraId="213BA64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1.乙方应当制定《</w:t>
      </w:r>
      <w:r>
        <w:rPr>
          <w:rFonts w:hint="eastAsia" w:ascii="宋体" w:hAnsi="宋体" w:cs="宋体"/>
          <w:b w:val="0"/>
          <w:bCs w:val="0"/>
          <w:color w:val="auto"/>
          <w:sz w:val="24"/>
          <w:szCs w:val="24"/>
          <w:highlight w:val="none"/>
          <w:lang w:val="en-US" w:eastAsia="zh-CN"/>
        </w:rPr>
        <w:t>年度</w:t>
      </w:r>
      <w:r>
        <w:rPr>
          <w:rFonts w:hint="eastAsia" w:ascii="宋体" w:hAnsi="宋体" w:eastAsia="宋体" w:cs="宋体"/>
          <w:b w:val="0"/>
          <w:bCs w:val="0"/>
          <w:color w:val="auto"/>
          <w:sz w:val="24"/>
          <w:szCs w:val="24"/>
          <w:highlight w:val="none"/>
          <w:lang w:val="en-US" w:eastAsia="zh-CN"/>
        </w:rPr>
        <w:t>建筑消防设施维护保养工作计划》明确消防设施的名称、维保的内容和周期并提交甲方审核、备案。</w:t>
      </w:r>
    </w:p>
    <w:p w14:paraId="56FD422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2.乙方应当在提供维保服务7日前，向甲方明确项目消防设施维保时间、内容和作业人员，并组织实施。</w:t>
      </w:r>
    </w:p>
    <w:p w14:paraId="366FF20F">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（二）材料配件供应</w:t>
      </w:r>
    </w:p>
    <w:p w14:paraId="2717CFE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甲、乙双方应当购置、储备一定数量的消防设施维保材料、配件或者与有关产品厂家、供应商签订相关合同，以保证及时供应。并应当对购置的材料、配件进行进货检验，合格后方可使用。</w:t>
      </w:r>
    </w:p>
    <w:p w14:paraId="74D39B3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1.乙方应当提供《建筑消防设施维修保养免费材料配件清单》，明确免费材料、配件名称和数量。</w:t>
      </w:r>
    </w:p>
    <w:p w14:paraId="3661B64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2.需更换配件时，乙方应当书面报告甲方，经甲方审核同意，由甲方提供或经甲方同意由乙方负责购置，并由乙方负责免费更换。其中：</w:t>
      </w:r>
    </w:p>
    <w:p w14:paraId="5671D11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）单价在￥【</w:t>
      </w:r>
      <w:r>
        <w:rPr>
          <w:rFonts w:hint="eastAsia" w:ascii="宋体" w:hAnsi="宋体" w:cs="宋体"/>
          <w:b w:val="0"/>
          <w:bCs w:val="0"/>
          <w:color w:val="auto"/>
          <w:sz w:val="24"/>
          <w:szCs w:val="24"/>
          <w:highlight w:val="none"/>
          <w:lang w:val="en-US" w:eastAsia="zh-CN"/>
        </w:rPr>
        <w:t>1000</w:t>
      </w:r>
      <w:r>
        <w:rPr>
          <w:rFonts w:hint="eastAsia" w:ascii="宋体" w:hAnsi="宋体" w:eastAsia="宋体" w:cs="宋体"/>
          <w:b w:val="0"/>
          <w:bCs w:val="0"/>
          <w:color w:val="auto"/>
          <w:sz w:val="24"/>
          <w:szCs w:val="24"/>
          <w:highlight w:val="none"/>
          <w:lang w:val="en-US" w:eastAsia="zh-CN"/>
        </w:rPr>
        <w:t>】元以下（含本</w:t>
      </w:r>
      <w:r>
        <w:rPr>
          <w:rFonts w:hint="eastAsia" w:ascii="宋体" w:hAnsi="宋体" w:eastAsia="宋体" w:cs="宋体"/>
          <w:b w:val="0"/>
          <w:bCs w:val="0"/>
          <w:color w:val="auto"/>
          <w:sz w:val="24"/>
          <w:szCs w:val="24"/>
          <w:highlight w:val="none"/>
          <w:u w:val="none"/>
          <w:lang w:val="en-US" w:eastAsia="zh-CN"/>
        </w:rPr>
        <w:t>数</w:t>
      </w:r>
      <w:r>
        <w:rPr>
          <w:rFonts w:hint="eastAsia" w:ascii="宋体" w:hAnsi="宋体" w:eastAsia="宋体" w:cs="宋体"/>
          <w:b w:val="0"/>
          <w:bCs w:val="0"/>
          <w:color w:val="auto"/>
          <w:sz w:val="24"/>
          <w:szCs w:val="24"/>
          <w:highlight w:val="none"/>
          <w:lang w:val="en-US" w:eastAsia="zh-CN"/>
        </w:rPr>
        <w:t>）的配件，由乙方负责购置并免费承担购置等费用；</w:t>
      </w:r>
    </w:p>
    <w:p w14:paraId="68B5D4C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）因乙方过错造成消防设施损坏所产生的维修材料、配件和人工等费用由乙方负责承担，若因乙方过错导致消防设施损坏给甲方造成人身、财产等损失的，乙方应承担全部责任。</w:t>
      </w:r>
    </w:p>
    <w:p w14:paraId="5F8AB457">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1"/>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（三）故障维修</w:t>
      </w:r>
    </w:p>
    <w:p w14:paraId="3F32CA9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1.甲方值班、巡查检查等发现的问题和故障，当场有条件解决的应当立即解决，当场无条件解决的应当及时通知乙方在24小时内解决；需要由供应商或者厂家解决的，应当在【</w:t>
      </w:r>
      <w:r>
        <w:rPr>
          <w:rFonts w:hint="eastAsia" w:ascii="宋体" w:hAnsi="宋体" w:cs="宋体"/>
          <w:b w:val="0"/>
          <w:bCs w:val="0"/>
          <w:color w:val="auto"/>
          <w:sz w:val="24"/>
          <w:szCs w:val="24"/>
          <w:highlight w:val="none"/>
          <w:u w:val="none"/>
          <w:lang w:val="en-US" w:eastAsia="zh-CN"/>
        </w:rPr>
        <w:t>7</w:t>
      </w:r>
      <w:r>
        <w:rPr>
          <w:rFonts w:hint="eastAsia" w:ascii="宋体" w:hAnsi="宋体" w:eastAsia="宋体" w:cs="宋体"/>
          <w:b w:val="0"/>
          <w:bCs w:val="0"/>
          <w:color w:val="auto"/>
          <w:sz w:val="24"/>
          <w:szCs w:val="24"/>
          <w:highlight w:val="none"/>
          <w:u w:val="none"/>
          <w:lang w:val="en-US" w:eastAsia="zh-CN"/>
        </w:rPr>
        <w:t>个】</w:t>
      </w:r>
      <w:r>
        <w:rPr>
          <w:rFonts w:hint="eastAsia" w:ascii="宋体" w:hAnsi="宋体" w:eastAsia="宋体" w:cs="宋体"/>
          <w:b w:val="0"/>
          <w:bCs w:val="0"/>
          <w:color w:val="auto"/>
          <w:sz w:val="24"/>
          <w:szCs w:val="24"/>
          <w:highlight w:val="none"/>
          <w:lang w:val="en-US" w:eastAsia="zh-CN"/>
        </w:rPr>
        <w:t>工作日内解决，影响消防系统正常工作的应当在【</w:t>
      </w:r>
      <w:r>
        <w:rPr>
          <w:rFonts w:hint="eastAsia" w:ascii="宋体" w:hAnsi="宋体" w:cs="宋体"/>
          <w:b w:val="0"/>
          <w:bCs w:val="0"/>
          <w:color w:val="auto"/>
          <w:sz w:val="24"/>
          <w:szCs w:val="24"/>
          <w:highlight w:val="none"/>
          <w:u w:val="none"/>
          <w:lang w:val="en-US" w:eastAsia="zh-CN"/>
        </w:rPr>
        <w:t>3</w:t>
      </w:r>
      <w:r>
        <w:rPr>
          <w:rFonts w:hint="eastAsia" w:ascii="宋体" w:hAnsi="宋体" w:eastAsia="宋体" w:cs="宋体"/>
          <w:b w:val="0"/>
          <w:bCs w:val="0"/>
          <w:color w:val="auto"/>
          <w:sz w:val="24"/>
          <w:szCs w:val="24"/>
          <w:highlight w:val="none"/>
          <w:u w:val="none"/>
          <w:lang w:val="en-US" w:eastAsia="zh-CN"/>
        </w:rPr>
        <w:t>个】</w:t>
      </w:r>
      <w:r>
        <w:rPr>
          <w:rFonts w:hint="eastAsia" w:ascii="宋体" w:hAnsi="宋体" w:eastAsia="宋体" w:cs="宋体"/>
          <w:b w:val="0"/>
          <w:bCs w:val="0"/>
          <w:color w:val="auto"/>
          <w:sz w:val="24"/>
          <w:szCs w:val="24"/>
          <w:highlight w:val="none"/>
          <w:lang w:val="en-US" w:eastAsia="zh-CN"/>
        </w:rPr>
        <w:t>工作日内解决。</w:t>
      </w:r>
    </w:p>
    <w:p w14:paraId="5755DD6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2.乙方应当建立24小时值班制度、公布联系电话。一般情况下，应当在接到甲方通知后4小时内到场进行维修；紧急情况下，应当在接到甲方通知后30分钟内到场进行维修。</w:t>
      </w:r>
    </w:p>
    <w:p w14:paraId="71359CB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联系人：【    】；  报修电话：【     】</w:t>
      </w:r>
    </w:p>
    <w:p w14:paraId="5D01851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消防设施故障不能及时修复且影响消防系统正常工作超过24小时的，乙方应当将基本情况和采取的应急措施书面报告甲方消防安全管理人审批。故障排除后，乙方应当进行相应功能测试并经甲方消防安全管理人确认。</w:t>
      </w:r>
    </w:p>
    <w:p w14:paraId="3B1CD2C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4.对因产品质量问题造成消防设施的故障，乙方应当及时通知甲方同供应商或生产厂家进行协商解决。</w:t>
      </w:r>
    </w:p>
    <w:p w14:paraId="4D2A46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5.消防设施维保期间，乙方应当采取确保消防安全的有效措施。需暂时停用消防设施进行维保的，乙方应当填报《消防系统/设施关停申请表》，报甲方消防安全管理人批准。</w:t>
      </w:r>
    </w:p>
    <w:p w14:paraId="23120E5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6.火灾处置。乙方接到甲方火灾通报，应当立即赶赴现场协助甲方做好应急处置工作。</w:t>
      </w:r>
    </w:p>
    <w:p w14:paraId="718DA1DD">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1"/>
        <w:rPr>
          <w:rFonts w:hint="eastAsia" w:ascii="宋体" w:hAnsi="宋体" w:eastAsia="宋体" w:cs="宋体"/>
          <w:b/>
          <w:bCs/>
          <w:color w:val="auto"/>
          <w:sz w:val="24"/>
          <w:szCs w:val="24"/>
          <w:highlight w:val="none"/>
          <w:lang w:val="en-US" w:eastAsia="zh-CN"/>
        </w:rPr>
      </w:pPr>
    </w:p>
    <w:p w14:paraId="1ACE52C2">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1"/>
        <w:rPr>
          <w:rFonts w:hint="eastAsia" w:ascii="宋体" w:hAnsi="宋体" w:eastAsia="宋体" w:cs="宋体"/>
          <w:b/>
          <w:bCs/>
          <w:color w:val="auto"/>
          <w:sz w:val="24"/>
          <w:szCs w:val="24"/>
          <w:highlight w:val="none"/>
          <w:lang w:val="en-US" w:eastAsia="zh-CN"/>
        </w:rPr>
      </w:pPr>
    </w:p>
    <w:p w14:paraId="302F548B">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（四）作业安全</w:t>
      </w:r>
    </w:p>
    <w:p w14:paraId="7112432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甲、乙双方应当落实安全生产主体责任，建立健全安全生产管理制度、操作规程，并加强从业人员安全生产教育培训，确保从业人员具备必要的安全生产知识、技能和应急处置能力。</w:t>
      </w:r>
    </w:p>
    <w:p w14:paraId="0D7D8D3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1.甲方应当制定承包商、供应商等相关方安全管理制度，对乙方作业过程安全生产工作进行统一协调和监督：</w:t>
      </w:r>
    </w:p>
    <w:p w14:paraId="74C33E9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作业前，甲方应当安排工程人员对乙方维修人员及资质、个体劳动防护用品和维修设备、器材（包括甲方提供给乙方使用的器材）及作业安全方案进行核查，并对作业现场安全风险进行交底。涉及危险作业的，还应当按照本单位有关规定办理作业安全许可审批手续。</w:t>
      </w:r>
    </w:p>
    <w:p w14:paraId="2D7D130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作业中，甲方应当指定工程等人员按有关规定对作业现场安全进行巡查检查，监督乙方维修人员落实现场安全管理措施，制止和纠正维修人员违章行为，并做好记录。对涉及危险作业和主要消防设施维保质量，应当指定工程人员加强对现场安全进行监督、指导。</w:t>
      </w:r>
    </w:p>
    <w:p w14:paraId="675C7D6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作业中，发生生产安全等事故，甲方应当立即启动相应的应急预案进行处置。</w:t>
      </w:r>
    </w:p>
    <w:p w14:paraId="2D3FF4C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（3）作业后，甲方应当监督乙方维修人员做好现场清理、撤场和服务记录的移交工作。</w:t>
      </w:r>
    </w:p>
    <w:p w14:paraId="7138BE1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2.乙方应当制定消防设施维保作业安全方案（含作业安全操作规程），并严格遵守甲方有关安全管理制度，做好以下作业过程安全生产工作：</w:t>
      </w:r>
    </w:p>
    <w:p w14:paraId="497B1C6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（1）作业前，乙方应当对维修人员及资质、个体劳动防护用品和维修设备、器材进行安全检查，并向甲方提交检查记录，对检查记录的真实性、合规性负责。</w:t>
      </w:r>
    </w:p>
    <w:p w14:paraId="0E542DD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作业前，乙方应当指定管理人员对维修人员进行安全培训和交底。涉及危险作业的，还应当按照甲方有关规定办理作业安全许可审批手续。</w:t>
      </w:r>
    </w:p>
    <w:p w14:paraId="71E5D08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（2）作业中，乙方维修人员应当落实现场作业安全管理措施，并应当指定管理人员全程对现场安全进行监督，制止和纠正维修人员违章行为，并做好记录。</w:t>
      </w:r>
    </w:p>
    <w:p w14:paraId="7DB9A8D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作业中，发生生产安全等事故，</w:t>
      </w:r>
      <w:r>
        <w:rPr>
          <w:rFonts w:hint="eastAsia" w:ascii="宋体" w:hAnsi="宋体" w:cs="宋体"/>
          <w:b w:val="0"/>
          <w:bCs w:val="0"/>
          <w:color w:val="auto"/>
          <w:sz w:val="24"/>
          <w:szCs w:val="24"/>
          <w:highlight w:val="none"/>
          <w:lang w:val="en-US" w:eastAsia="zh-CN"/>
        </w:rPr>
        <w:t>责任及损失全部由乙方承担，且</w:t>
      </w:r>
      <w:r>
        <w:rPr>
          <w:rFonts w:hint="eastAsia" w:ascii="宋体" w:hAnsi="宋体" w:eastAsia="宋体" w:cs="宋体"/>
          <w:b w:val="0"/>
          <w:bCs w:val="0"/>
          <w:color w:val="auto"/>
          <w:sz w:val="24"/>
          <w:szCs w:val="24"/>
          <w:highlight w:val="none"/>
          <w:lang w:val="en-US" w:eastAsia="zh-CN"/>
        </w:rPr>
        <w:t>乙方应当按照作业安全方案有关应急处置措施进行先期处置，并服从甲方现场应急处置工作的统一指挥。</w:t>
      </w:r>
    </w:p>
    <w:p w14:paraId="26E99377">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作业后，乙方应当做好现场清理、撤场和服务记录的移交工作。</w:t>
      </w:r>
    </w:p>
    <w:p w14:paraId="101C6FE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宋体" w:hAnsi="宋体" w:eastAsia="宋体" w:cs="宋体"/>
          <w:b/>
          <w:bCs/>
          <w:color w:val="auto"/>
          <w:sz w:val="24"/>
          <w:szCs w:val="24"/>
          <w:highlight w:val="none"/>
          <w:lang w:val="en-US" w:eastAsia="zh-CN"/>
        </w:rPr>
      </w:pPr>
    </w:p>
    <w:p w14:paraId="782FDD3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（五）评价考核</w:t>
      </w:r>
    </w:p>
    <w:p w14:paraId="701D4E8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甲方应当制定建筑消防设施维护保养评价考核评分标准（附件</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），每季度组织对乙方维保工作质量及履约情况进行评价考核，考核得分作为甲方支付维保费用、对乙方进行相应违约追偿和与其续签或者解除合同的依据。</w:t>
      </w:r>
    </w:p>
    <w:p w14:paraId="6000AE4B">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bCs/>
          <w:i w:val="0"/>
          <w:iCs w:val="0"/>
          <w:color w:val="auto"/>
          <w:sz w:val="24"/>
          <w:szCs w:val="24"/>
          <w:highlight w:val="none"/>
          <w:u w:val="single"/>
          <w:lang w:eastAsia="zh-CN"/>
        </w:rPr>
      </w:pPr>
      <w:r>
        <w:rPr>
          <w:rFonts w:hint="eastAsia" w:ascii="宋体" w:hAnsi="宋体" w:eastAsia="宋体" w:cs="宋体"/>
          <w:b w:val="0"/>
          <w:bCs w:val="0"/>
          <w:color w:val="auto"/>
          <w:sz w:val="24"/>
          <w:szCs w:val="24"/>
          <w:highlight w:val="none"/>
          <w:lang w:val="en-US" w:eastAsia="zh-CN"/>
        </w:rPr>
        <w:t>甲方对乙方维保工作质量及履约情况评价考核采取评分制，【季度】评价考核得分达【</w:t>
      </w:r>
      <w:r>
        <w:rPr>
          <w:rFonts w:hint="eastAsia" w:ascii="宋体" w:hAnsi="宋体" w:eastAsia="宋体" w:cs="宋体"/>
          <w:b w:val="0"/>
          <w:bCs w:val="0"/>
          <w:color w:val="auto"/>
          <w:sz w:val="24"/>
          <w:szCs w:val="24"/>
          <w:highlight w:val="none"/>
          <w:u w:val="none"/>
          <w:lang w:val="en-US" w:eastAsia="zh-CN"/>
        </w:rPr>
        <w:t>90分】</w:t>
      </w:r>
      <w:r>
        <w:rPr>
          <w:rFonts w:hint="eastAsia" w:ascii="宋体" w:hAnsi="宋体" w:eastAsia="宋体" w:cs="宋体"/>
          <w:b w:val="0"/>
          <w:bCs w:val="0"/>
          <w:color w:val="auto"/>
          <w:sz w:val="24"/>
          <w:szCs w:val="24"/>
          <w:highlight w:val="none"/>
          <w:lang w:val="en-US" w:eastAsia="zh-CN"/>
        </w:rPr>
        <w:t>以上（含本数）的为合格，【</w:t>
      </w:r>
      <w:r>
        <w:rPr>
          <w:rFonts w:hint="eastAsia" w:ascii="宋体" w:hAnsi="宋体" w:eastAsia="宋体" w:cs="宋体"/>
          <w:b w:val="0"/>
          <w:bCs w:val="0"/>
          <w:color w:val="auto"/>
          <w:sz w:val="24"/>
          <w:szCs w:val="24"/>
          <w:highlight w:val="none"/>
          <w:u w:val="none"/>
          <w:lang w:val="en-US" w:eastAsia="zh-CN"/>
        </w:rPr>
        <w:t>90分】</w:t>
      </w:r>
      <w:r>
        <w:rPr>
          <w:rFonts w:hint="eastAsia" w:ascii="宋体" w:hAnsi="宋体" w:eastAsia="宋体" w:cs="宋体"/>
          <w:b w:val="0"/>
          <w:bCs w:val="0"/>
          <w:color w:val="auto"/>
          <w:sz w:val="24"/>
          <w:szCs w:val="24"/>
          <w:highlight w:val="none"/>
          <w:lang w:val="en-US" w:eastAsia="zh-CN"/>
        </w:rPr>
        <w:t>以下为不合格；【季度】考核得分在合格分以下的，乙方应当向甲方作出书面说明，并按照甲方要求及时进行整改，乙方</w:t>
      </w:r>
      <w:r>
        <w:rPr>
          <w:rFonts w:hint="eastAsia" w:ascii="宋体" w:hAnsi="宋体" w:eastAsia="宋体" w:cs="宋体"/>
          <w:color w:val="auto"/>
          <w:sz w:val="24"/>
          <w:szCs w:val="24"/>
          <w:highlight w:val="none"/>
        </w:rPr>
        <w:t>每低于</w:t>
      </w:r>
      <w:r>
        <w:rPr>
          <w:rFonts w:hint="eastAsia" w:ascii="宋体" w:hAnsi="宋体" w:eastAsia="宋体" w:cs="宋体"/>
          <w:color w:val="auto"/>
          <w:sz w:val="24"/>
          <w:szCs w:val="24"/>
          <w:highlight w:val="none"/>
          <w:lang w:val="en-US" w:eastAsia="zh-CN"/>
        </w:rPr>
        <w:t>考核合格分</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甲方有权从任意一笔应付款中扣除乙方</w:t>
      </w:r>
      <w:r>
        <w:rPr>
          <w:rFonts w:hint="eastAsia" w:ascii="宋体" w:hAnsi="宋体" w:eastAsia="宋体" w:cs="宋体"/>
          <w:b w:val="0"/>
          <w:bCs w:val="0"/>
          <w:color w:val="auto"/>
          <w:sz w:val="24"/>
          <w:szCs w:val="24"/>
          <w:highlight w:val="none"/>
          <w:u w:val="none"/>
          <w:lang w:val="en-US" w:eastAsia="zh-CN"/>
        </w:rPr>
        <w:t>【季度】</w:t>
      </w:r>
      <w:r>
        <w:rPr>
          <w:rFonts w:hint="eastAsia" w:ascii="宋体" w:hAnsi="宋体" w:eastAsia="宋体" w:cs="宋体"/>
          <w:color w:val="auto"/>
          <w:sz w:val="24"/>
          <w:szCs w:val="24"/>
          <w:highlight w:val="none"/>
        </w:rPr>
        <w:t>维保</w:t>
      </w:r>
      <w:r>
        <w:rPr>
          <w:rFonts w:hint="eastAsia" w:ascii="宋体" w:hAnsi="宋体" w:eastAsia="宋体" w:cs="宋体"/>
          <w:color w:val="auto"/>
          <w:sz w:val="24"/>
          <w:szCs w:val="24"/>
          <w:highlight w:val="none"/>
          <w:lang w:val="en-US" w:eastAsia="zh-CN"/>
        </w:rPr>
        <w:t>费用</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eastAsia="zh-CN"/>
        </w:rPr>
        <w:t>】。</w:t>
      </w:r>
      <w:r>
        <w:rPr>
          <w:rFonts w:hint="eastAsia" w:ascii="宋体" w:hAnsi="宋体" w:eastAsia="宋体" w:cs="宋体"/>
          <w:b/>
          <w:bCs/>
          <w:i w:val="0"/>
          <w:iCs w:val="0"/>
          <w:color w:val="auto"/>
          <w:sz w:val="24"/>
          <w:szCs w:val="24"/>
          <w:highlight w:val="none"/>
          <w:u w:val="single"/>
          <w:lang w:val="en-US" w:eastAsia="zh-CN"/>
        </w:rPr>
        <w:t>乙方单次</w:t>
      </w:r>
      <w:r>
        <w:rPr>
          <w:rFonts w:hint="eastAsia" w:ascii="宋体" w:hAnsi="宋体" w:eastAsia="宋体" w:cs="宋体"/>
          <w:b/>
          <w:bCs/>
          <w:i w:val="0"/>
          <w:iCs w:val="0"/>
          <w:color w:val="auto"/>
          <w:sz w:val="24"/>
          <w:szCs w:val="24"/>
          <w:highlight w:val="none"/>
          <w:u w:val="single"/>
          <w:lang w:eastAsia="zh-CN"/>
        </w:rPr>
        <w:t>【</w:t>
      </w:r>
      <w:r>
        <w:rPr>
          <w:rFonts w:hint="eastAsia" w:ascii="宋体" w:hAnsi="宋体" w:eastAsia="宋体" w:cs="宋体"/>
          <w:b/>
          <w:bCs/>
          <w:i w:val="0"/>
          <w:iCs w:val="0"/>
          <w:color w:val="auto"/>
          <w:sz w:val="24"/>
          <w:szCs w:val="24"/>
          <w:highlight w:val="none"/>
          <w:u w:val="single"/>
          <w:lang w:val="en-US" w:eastAsia="zh-CN"/>
        </w:rPr>
        <w:t>季度</w:t>
      </w:r>
      <w:r>
        <w:rPr>
          <w:rFonts w:hint="eastAsia" w:ascii="宋体" w:hAnsi="宋体" w:eastAsia="宋体" w:cs="宋体"/>
          <w:b/>
          <w:bCs/>
          <w:i w:val="0"/>
          <w:iCs w:val="0"/>
          <w:color w:val="auto"/>
          <w:sz w:val="24"/>
          <w:szCs w:val="24"/>
          <w:highlight w:val="none"/>
          <w:u w:val="single"/>
          <w:lang w:eastAsia="zh-CN"/>
        </w:rPr>
        <w:t>】</w:t>
      </w:r>
      <w:r>
        <w:rPr>
          <w:rFonts w:hint="eastAsia" w:ascii="宋体" w:hAnsi="宋体" w:eastAsia="宋体" w:cs="宋体"/>
          <w:b/>
          <w:bCs/>
          <w:i w:val="0"/>
          <w:iCs w:val="0"/>
          <w:color w:val="auto"/>
          <w:sz w:val="24"/>
          <w:szCs w:val="24"/>
          <w:highlight w:val="none"/>
          <w:u w:val="single"/>
          <w:lang w:val="en-US" w:eastAsia="zh-CN"/>
        </w:rPr>
        <w:t>考核得分在【 70 分】（不含本数）以下的，甲方有权单方解除本合同，</w:t>
      </w:r>
      <w:r>
        <w:rPr>
          <w:rFonts w:hint="eastAsia" w:ascii="宋体" w:hAnsi="宋体" w:cs="宋体"/>
          <w:b/>
          <w:bCs/>
          <w:i w:val="0"/>
          <w:iCs w:val="0"/>
          <w:color w:val="auto"/>
          <w:sz w:val="24"/>
          <w:szCs w:val="24"/>
          <w:highlight w:val="none"/>
          <w:u w:val="single"/>
          <w:lang w:val="en-US" w:eastAsia="zh-CN"/>
        </w:rPr>
        <w:t>乙方应向甲方支付合同价20%违约金，</w:t>
      </w:r>
      <w:r>
        <w:rPr>
          <w:rFonts w:hint="eastAsia" w:ascii="宋体" w:hAnsi="宋体" w:eastAsia="宋体" w:cs="宋体"/>
          <w:b/>
          <w:bCs/>
          <w:i w:val="0"/>
          <w:iCs w:val="0"/>
          <w:color w:val="auto"/>
          <w:sz w:val="24"/>
          <w:szCs w:val="24"/>
          <w:highlight w:val="none"/>
          <w:u w:val="single"/>
          <w:lang w:val="en-US" w:eastAsia="zh-CN"/>
        </w:rPr>
        <w:t>且乙方未全面履行本合同义务给甲方造成的一切损失由乙方负责赔偿。</w:t>
      </w:r>
    </w:p>
    <w:p w14:paraId="0AFAA9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对乙方及时发现并消除重大消防安全隐患，或提出的合理化建议（经甲方确认并采纳），或积极配合甲方开展消防安全检查，或处理突发事件有突出表现的可实行加分，具体加分分值由甲方视实际情况酌情确定。</w:t>
      </w:r>
    </w:p>
    <w:p w14:paraId="5C73E058">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三、甲方权利与义务</w:t>
      </w:r>
    </w:p>
    <w:p w14:paraId="28C0F105">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（一）甲方的权利</w:t>
      </w:r>
    </w:p>
    <w:p w14:paraId="50A7A91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1.有权核查乙方维修人员资格证书；对工作不负责、专业能力差和违反甲方有关管理规定的乙方维修人员，甲方有权要求在【3日】内进行更换。</w:t>
      </w:r>
    </w:p>
    <w:p w14:paraId="5869892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2.有权对乙方维保行为进行监督检查，有权制止、纠正和报告乙方违法违规行为。</w:t>
      </w:r>
    </w:p>
    <w:p w14:paraId="30982E2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3.有权按本合同有关约定对乙方违约行为进行追偿。</w:t>
      </w:r>
    </w:p>
    <w:p w14:paraId="567962A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甲方有权指定具备相关专业知识的人员担任消防安全管理人，负责协调处理乙方在维保过程中出现问题，对维修保养记录和报告进行审查和签字确认，并对乙方维保工作质量进行监督、检查、考核及提出整改意见；对于甲方消防安全管理人提出的合理意见，乙方应当采纳。</w:t>
      </w:r>
    </w:p>
    <w:p w14:paraId="25A8630C">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1"/>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（二）甲方的义务</w:t>
      </w:r>
    </w:p>
    <w:p w14:paraId="5FE2844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1.负责委托具有相应资质的乙方进行消防设施维保和检测，并向乙方提供必要的消防设施技术资料和水、电等协作服务。</w:t>
      </w:r>
    </w:p>
    <w:p w14:paraId="60A0088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2.负责制定和落实消防设施维护保养管理制度、操作规程。</w:t>
      </w:r>
    </w:p>
    <w:p w14:paraId="7434C5F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3.负责掌握消防设施的使用、操作规程，发现问题和故障应当及时通知乙方修复。</w:t>
      </w:r>
    </w:p>
    <w:p w14:paraId="43309DF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4.负责及时组织更换消防设施配件；对消防设施等进行更新、改造时，应当向乙方进行通报。</w:t>
      </w:r>
    </w:p>
    <w:p w14:paraId="2F5E4EC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5.负责协助通知管理项目业主(客户)有关维修保养的工作时间,协助乙方维保人员进入业主（客户）室内开展消防系统设备、设施安装、维保工作。</w:t>
      </w:r>
    </w:p>
    <w:p w14:paraId="162B9B0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6.负责加强在消防设施设备维保作业、临时停用期间的巡查工作。</w:t>
      </w:r>
    </w:p>
    <w:p w14:paraId="209507D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7.建立消防系统运行记录资料，做好消防系统日常巡查，向乙方提供必要的基础技术资料。</w:t>
      </w:r>
    </w:p>
    <w:p w14:paraId="38E9F231">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四、乙方的权利与义务</w:t>
      </w:r>
    </w:p>
    <w:p w14:paraId="692BACB3">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（一）乙方的权利</w:t>
      </w:r>
    </w:p>
    <w:p w14:paraId="12305E8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1.有权拒绝甲方违章指挥。</w:t>
      </w:r>
    </w:p>
    <w:p w14:paraId="75058E66">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1"/>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（二）乙方的义务</w:t>
      </w:r>
    </w:p>
    <w:p w14:paraId="409C94C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1.负责依照法律法规、技术标准、执业准则和本合同约定的服务内容，组织开展消防设施维保和检测活动，并对维保和检测质量承担违约责任和相应的法律责任。</w:t>
      </w:r>
    </w:p>
    <w:p w14:paraId="3144A81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2.负责按照要求，配备项目负责人和至少【</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名维修人员开展维保工作，乙方承诺上述工作人员为具有消防设备维保资质（或有关行政主管部门颁发的相关上岗证）和相关工作经验的专业工程师以及专业技术人员；如维护保养人员发生变更，乙方应当及时并报甲方审批。</w:t>
      </w:r>
    </w:p>
    <w:p w14:paraId="64DF881F">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乙方指定本项目负责人为：【  】，资质证书编号：【  】，联系方式：【   】。</w:t>
      </w:r>
    </w:p>
    <w:p w14:paraId="054889E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乙方应按照【《消防技术服务机构设备配备》（GA1157）】的要求，配备相应的消防设施维保设备、器材，负责制定并落实消防设施维保作业安全方案（含作业安全操作规程），并严格遵守甲方承包商、供应商等相关方安全管理制度。</w:t>
      </w:r>
    </w:p>
    <w:p w14:paraId="4F59152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.每【月】应当保障项目消防设施全部维保一遍，并如实填写维保记录。</w:t>
      </w:r>
    </w:p>
    <w:p w14:paraId="3BF7DC4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lang w:val="en-US" w:eastAsia="zh-CN"/>
        </w:rPr>
        <w:t>.每年对项目消防设施至少进行一次全面检查、测试。并如实填写检测记录，按政府有关部门规定进行备案。</w:t>
      </w:r>
    </w:p>
    <w:p w14:paraId="551A4B0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.在检查、测试中发现问题和故障，或接到甲方通知要求维修的，能够当场修复的应当立即修复；没有条件立即修复的，应当按本合同故障维修时限及时进行修复，保证设施正常运行。</w:t>
      </w:r>
    </w:p>
    <w:p w14:paraId="76CDF8A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lang w:val="en-US" w:eastAsia="zh-CN"/>
        </w:rPr>
        <w:t>.对故障配件提供临时备件；确需更换的，向甲方提出建议，并出示更换部件的报废证明。所有配件更换及主机维修仅收材料费，免收维保费。</w:t>
      </w:r>
    </w:p>
    <w:p w14:paraId="210879A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eastAsia="zh-CN"/>
        </w:rPr>
        <w:t>.配合甲方做好各项消防检查工作，对甲方值班和管理人员进行专业指导、培训。</w:t>
      </w:r>
    </w:p>
    <w:p w14:paraId="1396B93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乙方或其指定的工作人员等任意第三方均应严格遵守国家反洗钱相关法律法规和监管规定，不组织、不参与洗钱等违法犯罪活动或为上述违法犯罪活动提供任何形式的便利或协助，否则，视为乙方严重违约，甲方有权解除本协议，并根据法律法规和监管部门要求配合采取相应措施，由此造成的损失和责任由乙方承担</w:t>
      </w:r>
      <w:r>
        <w:rPr>
          <w:rFonts w:hint="eastAsia" w:ascii="宋体" w:hAnsi="宋体" w:eastAsia="宋体" w:cs="宋体"/>
          <w:b w:val="0"/>
          <w:bCs w:val="0"/>
          <w:color w:val="auto"/>
          <w:sz w:val="24"/>
          <w:szCs w:val="24"/>
          <w:highlight w:val="none"/>
          <w:lang w:eastAsia="zh-CN"/>
        </w:rPr>
        <w:t>。</w:t>
      </w:r>
    </w:p>
    <w:p w14:paraId="134962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eastAsia="zh-CN"/>
        </w:rPr>
        <w:t>.乙方应教育其指定的工作人员遵守甲方及项目业主方的管理规定，确保工作人员遵纪守法，爱护园区公共财物，配合甲方管理，听取甲方人员的管理意见。</w:t>
      </w:r>
    </w:p>
    <w:p w14:paraId="7D46D85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.因乙方失职导致甲方管理范围内的消防系统、设施设备发生故障、损毁的，相关法律责任由乙方全部承担；如甲方因此遭受经济损失的，乙方应予以赔偿。</w:t>
      </w:r>
    </w:p>
    <w:p w14:paraId="541FB2C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12</w:t>
      </w:r>
      <w:r>
        <w:rPr>
          <w:rFonts w:hint="eastAsia" w:ascii="宋体" w:hAnsi="宋体" w:eastAsia="宋体" w:cs="宋体"/>
          <w:b w:val="0"/>
          <w:bCs w:val="0"/>
          <w:color w:val="auto"/>
          <w:sz w:val="24"/>
          <w:szCs w:val="24"/>
          <w:highlight w:val="none"/>
          <w:lang w:val="en-US" w:eastAsia="zh-CN"/>
        </w:rPr>
        <w:t>.当消防设施出现严重故障必须停用时，乙方应立即向甲方消防安全管理人报告，并采取紧急防范措施。</w:t>
      </w:r>
    </w:p>
    <w:p w14:paraId="6F4A5C4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乙方在动力设备、易燃易爆场所和贵重设备等易发生危险性场合进行维修保养时，应事先向甲方消防安全管理人报告，然后采取必要的安全防护措施。甲方应派相关人员到场监督和协助乙方进行有关工作。不论甲方是否采取上述安全防护措施，乙方均应在满足安全的条件下进行工作。在任何情况下，甲方派员到场监督和协助均不免除乙方在本合同项下的义务和责任。</w:t>
      </w:r>
    </w:p>
    <w:p w14:paraId="7F1E2DA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.乙方在接到甲方或业主方（客户）的有效投诉时应立即进行处理，未及时处理和解决的，甲方有权提出书面警告。</w:t>
      </w:r>
    </w:p>
    <w:p w14:paraId="6409656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sz w:val="24"/>
          <w:szCs w:val="24"/>
          <w:lang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b/>
          <w:bCs/>
          <w:sz w:val="24"/>
          <w:szCs w:val="24"/>
          <w:u w:val="single"/>
        </w:rPr>
        <w:t>未经甲方书面许可，乙方不得将本合同的有关权利和义务</w:t>
      </w:r>
      <w:r>
        <w:rPr>
          <w:rFonts w:hint="eastAsia" w:ascii="宋体" w:hAnsi="宋体" w:eastAsia="宋体"/>
          <w:b/>
          <w:bCs/>
          <w:sz w:val="24"/>
          <w:szCs w:val="24"/>
          <w:u w:val="single"/>
          <w:lang w:val="en-US" w:eastAsia="zh-CN"/>
        </w:rPr>
        <w:t>全部或部分</w:t>
      </w:r>
      <w:r>
        <w:rPr>
          <w:rFonts w:hint="eastAsia" w:ascii="宋体" w:hAnsi="宋体" w:eastAsia="宋体"/>
          <w:b/>
          <w:bCs/>
          <w:sz w:val="24"/>
          <w:szCs w:val="24"/>
          <w:u w:val="single"/>
        </w:rPr>
        <w:t>转包</w:t>
      </w:r>
      <w:r>
        <w:rPr>
          <w:rFonts w:hint="eastAsia" w:ascii="宋体" w:hAnsi="宋体" w:eastAsia="宋体"/>
          <w:b/>
          <w:bCs/>
          <w:sz w:val="24"/>
          <w:szCs w:val="24"/>
          <w:u w:val="single"/>
          <w:lang w:eastAsia="zh-CN"/>
        </w:rPr>
        <w:t>、</w:t>
      </w:r>
      <w:r>
        <w:rPr>
          <w:rFonts w:hint="eastAsia" w:ascii="宋体" w:hAnsi="宋体" w:eastAsia="宋体"/>
          <w:b/>
          <w:bCs/>
          <w:sz w:val="24"/>
          <w:szCs w:val="24"/>
          <w:u w:val="single"/>
        </w:rPr>
        <w:t>分包给第三方</w:t>
      </w:r>
      <w:r>
        <w:rPr>
          <w:rFonts w:hint="eastAsia" w:ascii="宋体" w:hAnsi="宋体" w:eastAsia="宋体"/>
          <w:b/>
          <w:bCs/>
          <w:sz w:val="24"/>
          <w:szCs w:val="24"/>
          <w:u w:val="single"/>
          <w:lang w:eastAsia="zh-CN"/>
        </w:rPr>
        <w:t>。</w:t>
      </w:r>
    </w:p>
    <w:p w14:paraId="3EB911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sz w:val="24"/>
          <w:szCs w:val="24"/>
          <w:lang w:val="en-US" w:eastAsia="zh-CN"/>
        </w:rPr>
      </w:pPr>
      <w:r>
        <w:rPr>
          <w:rFonts w:hint="eastAsia" w:ascii="宋体" w:hAnsi="宋体"/>
          <w:sz w:val="24"/>
          <w:szCs w:val="24"/>
          <w:lang w:val="en-US" w:eastAsia="zh-CN"/>
        </w:rPr>
        <w:t>16</w:t>
      </w:r>
      <w:r>
        <w:rPr>
          <w:rFonts w:hint="eastAsia" w:ascii="宋体" w:hAnsi="宋体" w:eastAsia="宋体"/>
          <w:sz w:val="24"/>
          <w:szCs w:val="24"/>
          <w:lang w:val="en-US" w:eastAsia="zh-CN"/>
        </w:rPr>
        <w:t>.乙方必须保证向甲方提供的资料、信息是真实可靠的，由于乙方提供虚假信息、资料给甲方造成的损失，全部由乙方承担；如果乙方所提供的资料中含有虚假资料，甲方有权单方解除合同，乙方应向甲方支付违约金人民币【5000】元。</w:t>
      </w:r>
    </w:p>
    <w:p w14:paraId="558BD6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sz w:val="24"/>
          <w:szCs w:val="24"/>
          <w:lang w:val="en-US" w:eastAsia="zh-CN"/>
        </w:rPr>
      </w:pPr>
      <w:r>
        <w:rPr>
          <w:rFonts w:hint="eastAsia" w:ascii="宋体" w:hAnsi="宋体"/>
          <w:sz w:val="24"/>
          <w:szCs w:val="24"/>
          <w:lang w:val="en-US" w:eastAsia="zh-CN"/>
        </w:rPr>
        <w:t>17</w:t>
      </w:r>
      <w:r>
        <w:rPr>
          <w:rFonts w:hint="eastAsia" w:ascii="宋体" w:hAnsi="宋体" w:eastAsia="宋体"/>
          <w:sz w:val="24"/>
          <w:szCs w:val="24"/>
          <w:lang w:val="en-US" w:eastAsia="zh-CN"/>
        </w:rPr>
        <w:t>.乙方应对合同履行期间从甲方处获知的一切涉密资料（包括但不限于甲方或甲方客户的商业秘密、运营信息、商务资料等）保密，未经甲方许可，乙方不得将涉密信息向第三方泄露或用于与本合同内容无关的其他用途。</w:t>
      </w:r>
    </w:p>
    <w:p w14:paraId="5EBE718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default" w:ascii="宋体" w:hAnsi="宋体" w:eastAsia="宋体"/>
          <w:sz w:val="24"/>
          <w:szCs w:val="24"/>
          <w:lang w:val="en-US" w:eastAsia="zh-CN"/>
        </w:rPr>
      </w:pPr>
      <w:r>
        <w:rPr>
          <w:rFonts w:hint="eastAsia" w:ascii="宋体" w:hAnsi="宋体"/>
          <w:sz w:val="24"/>
          <w:szCs w:val="24"/>
          <w:lang w:val="en-US" w:eastAsia="zh-CN"/>
        </w:rPr>
        <w:t>18</w:t>
      </w:r>
      <w:r>
        <w:rPr>
          <w:rFonts w:hint="eastAsia" w:ascii="宋体" w:hAnsi="宋体" w:eastAsia="宋体"/>
          <w:sz w:val="24"/>
          <w:szCs w:val="24"/>
          <w:lang w:val="en-US" w:eastAsia="zh-CN"/>
        </w:rPr>
        <w:t>.保密条款在合同终止后继续有效，如乙方及乙方工作人员违反保密义务，甲方有权要求更换泄密的工作人员或单方面解除合同，乙方应按合同总金额的【20】%支付违约金；违约金不足以弥补甲方损失的，乙方仍应承担赔偿责任，甲方有权从</w:t>
      </w:r>
      <w:r>
        <w:rPr>
          <w:rFonts w:hint="eastAsia" w:ascii="宋体" w:hAnsi="宋体"/>
          <w:sz w:val="24"/>
          <w:szCs w:val="24"/>
          <w:lang w:val="en-US" w:eastAsia="zh-CN"/>
        </w:rPr>
        <w:t>履约保证金</w:t>
      </w:r>
      <w:r>
        <w:rPr>
          <w:rFonts w:hint="eastAsia" w:ascii="宋体" w:hAnsi="宋体"/>
          <w:b w:val="0"/>
          <w:bCs w:val="0"/>
          <w:sz w:val="24"/>
          <w:szCs w:val="24"/>
          <w:lang w:val="en-US" w:eastAsia="zh-CN"/>
        </w:rPr>
        <w:t>或任意一笔</w:t>
      </w:r>
      <w:r>
        <w:rPr>
          <w:rFonts w:hint="default" w:ascii="宋体" w:hAnsi="宋体"/>
          <w:b w:val="0"/>
          <w:sz w:val="24"/>
          <w:szCs w:val="24"/>
        </w:rPr>
        <w:t>待支付款项中直接扣除</w:t>
      </w:r>
      <w:r>
        <w:rPr>
          <w:rFonts w:hint="eastAsia" w:ascii="宋体" w:hAnsi="宋体"/>
          <w:b w:val="0"/>
          <w:bCs w:val="0"/>
          <w:sz w:val="24"/>
          <w:szCs w:val="24"/>
          <w:lang w:val="en-US" w:eastAsia="zh-CN"/>
        </w:rPr>
        <w:t>相关</w:t>
      </w:r>
      <w:r>
        <w:rPr>
          <w:rFonts w:hint="default" w:ascii="宋体" w:hAnsi="宋体"/>
          <w:b w:val="0"/>
          <w:bCs w:val="0"/>
          <w:sz w:val="24"/>
          <w:szCs w:val="24"/>
          <w:lang w:val="en-US" w:eastAsia="zh-CN"/>
        </w:rPr>
        <w:t>违约金、赔偿金</w:t>
      </w:r>
      <w:r>
        <w:rPr>
          <w:rFonts w:hint="eastAsia" w:ascii="宋体" w:hAnsi="宋体"/>
          <w:b w:val="0"/>
          <w:bCs w:val="0"/>
          <w:sz w:val="24"/>
          <w:szCs w:val="24"/>
          <w:lang w:val="en-US" w:eastAsia="zh-CN"/>
        </w:rPr>
        <w:t>。</w:t>
      </w:r>
    </w:p>
    <w:p w14:paraId="7E023AF3">
      <w:pPr>
        <w:adjustRightInd/>
        <w:snapToGrid/>
        <w:spacing w:before="0" w:beforeLines="-2147483648" w:after="0" w:afterLines="-2147483648" w:line="360" w:lineRule="auto"/>
        <w:ind w:left="0" w:right="0" w:firstLine="482" w:firstLineChars="200"/>
        <w:jc w:val="left"/>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合法用工及安全责任</w:t>
      </w:r>
    </w:p>
    <w:p w14:paraId="309B8D72">
      <w:pPr>
        <w:pStyle w:val="14"/>
        <w:numPr>
          <w:ilvl w:val="0"/>
          <w:numId w:val="5"/>
        </w:numPr>
        <w:adjustRightInd w:val="0"/>
        <w:snapToGrid w:val="0"/>
        <w:spacing w:after="0" w:line="360" w:lineRule="auto"/>
        <w:ind w:left="0" w:leftChars="0" w:right="11" w:firstLine="420"/>
        <w:rPr>
          <w:rFonts w:hint="eastAsia" w:ascii="宋体" w:hAnsi="宋体" w:eastAsia="宋体"/>
          <w:sz w:val="24"/>
          <w:szCs w:val="24"/>
          <w:lang w:val="en-US" w:eastAsia="zh-CN"/>
        </w:rPr>
      </w:pPr>
      <w:r>
        <w:rPr>
          <w:rFonts w:hint="eastAsia" w:ascii="宋体" w:hAnsi="宋体" w:eastAsia="宋体"/>
          <w:sz w:val="24"/>
          <w:szCs w:val="24"/>
          <w:lang w:val="en-US" w:eastAsia="zh-CN"/>
        </w:rPr>
        <w:t>乙方工作人员应身体健康，持有效消防设备维保资质或上岗证件，如乙方工作人员不符合要求的，乙方应在接到甲方通知后【5】日内更换。</w:t>
      </w:r>
    </w:p>
    <w:p w14:paraId="003F9E4D">
      <w:pPr>
        <w:pStyle w:val="14"/>
        <w:numPr>
          <w:ilvl w:val="0"/>
          <w:numId w:val="5"/>
        </w:numPr>
        <w:adjustRightInd w:val="0"/>
        <w:snapToGrid w:val="0"/>
        <w:spacing w:after="0" w:line="360" w:lineRule="auto"/>
        <w:ind w:left="0" w:leftChars="0" w:right="11" w:firstLine="420"/>
        <w:rPr>
          <w:rFonts w:hint="eastAsia" w:ascii="宋体" w:hAnsi="宋体" w:eastAsia="宋体"/>
          <w:sz w:val="24"/>
          <w:szCs w:val="24"/>
        </w:rPr>
      </w:pPr>
      <w:r>
        <w:rPr>
          <w:rFonts w:hint="eastAsia" w:ascii="宋体" w:hAnsi="宋体" w:eastAsia="宋体"/>
          <w:sz w:val="24"/>
          <w:szCs w:val="24"/>
        </w:rPr>
        <w:t>派驻甲方的工作人员劳动人事关系归属于乙方，与甲方不存在任何劳务关系。乙方应按照法律法规与工作人员建立规范的劳动合同关系，承担乙方员工的工资、保险、福利及其它一切费用。乙方应自行处理与乙方员工的劳动纠纷，甲方不承担任何责任，乙方不得因此影响甲方项目的秩序与正常运作，如给甲方造成任何损失，由乙方承担赔偿责任</w:t>
      </w:r>
      <w:r>
        <w:rPr>
          <w:rFonts w:hint="eastAsia" w:ascii="宋体" w:hAnsi="宋体" w:eastAsia="宋体"/>
          <w:sz w:val="24"/>
          <w:szCs w:val="24"/>
          <w:lang w:eastAsia="zh-CN"/>
        </w:rPr>
        <w:t>。</w:t>
      </w:r>
    </w:p>
    <w:p w14:paraId="1F5C4DA1">
      <w:pPr>
        <w:pStyle w:val="14"/>
        <w:numPr>
          <w:ilvl w:val="0"/>
          <w:numId w:val="5"/>
        </w:numPr>
        <w:adjustRightInd w:val="0"/>
        <w:snapToGrid w:val="0"/>
        <w:spacing w:after="0" w:line="360" w:lineRule="auto"/>
        <w:ind w:left="0" w:leftChars="0" w:right="11" w:firstLine="420"/>
        <w:rPr>
          <w:rFonts w:hint="eastAsia" w:ascii="宋体" w:hAnsi="宋体" w:eastAsia="宋体"/>
          <w:sz w:val="24"/>
          <w:szCs w:val="24"/>
        </w:rPr>
      </w:pPr>
      <w:r>
        <w:rPr>
          <w:rFonts w:hint="eastAsia" w:ascii="宋体" w:hAnsi="宋体" w:eastAsia="宋体"/>
          <w:sz w:val="24"/>
          <w:szCs w:val="24"/>
          <w:lang w:val="en-US" w:eastAsia="zh-CN"/>
        </w:rPr>
        <w:t>乙方用工须符合劳动法等国家相关法律、法规和政策规定，包括但不限于薪资报酬、用工年龄、工作时间、劳动保障等应符合服务区域所在地的相关规定。乙方不得拖欠、克扣工作人员薪资报酬，如因劳资纠纷等引发乙方工作人员实施罢工、聚众闹事、投诉、上访等行为，甲方有权</w:t>
      </w:r>
      <w:r>
        <w:rPr>
          <w:rFonts w:hint="eastAsia" w:ascii="宋体" w:hAnsi="宋体"/>
          <w:sz w:val="24"/>
          <w:szCs w:val="24"/>
          <w:lang w:val="en-US" w:eastAsia="zh-CN"/>
        </w:rPr>
        <w:t>不予退还</w:t>
      </w:r>
      <w:r>
        <w:rPr>
          <w:rFonts w:hint="eastAsia" w:ascii="宋体" w:hAnsi="宋体" w:eastAsia="宋体"/>
          <w:sz w:val="24"/>
          <w:szCs w:val="24"/>
          <w:lang w:val="en-US" w:eastAsia="zh-CN"/>
        </w:rPr>
        <w:t>乙方履约保证金，且乙方应当负责解决相关纠纷，不得给甲方造成负面影响。如乙方逾期未处理，甲方为避免扩大影响，有权</w:t>
      </w:r>
      <w:r>
        <w:rPr>
          <w:rFonts w:hint="eastAsia" w:ascii="宋体" w:hAnsi="宋体"/>
          <w:sz w:val="24"/>
          <w:szCs w:val="24"/>
          <w:lang w:val="en-US" w:eastAsia="zh-CN"/>
        </w:rPr>
        <w:t>不予退还</w:t>
      </w:r>
      <w:r>
        <w:rPr>
          <w:rFonts w:hint="eastAsia" w:ascii="宋体" w:hAnsi="宋体" w:eastAsia="宋体"/>
          <w:sz w:val="24"/>
          <w:szCs w:val="24"/>
          <w:lang w:val="en-US" w:eastAsia="zh-CN"/>
        </w:rPr>
        <w:t>乙方履约保证金及未付</w:t>
      </w:r>
      <w:r>
        <w:rPr>
          <w:rFonts w:hint="eastAsia" w:ascii="宋体" w:hAnsi="宋体"/>
          <w:sz w:val="24"/>
          <w:szCs w:val="24"/>
          <w:lang w:val="en-US" w:eastAsia="zh-CN"/>
        </w:rPr>
        <w:t>维保</w:t>
      </w:r>
      <w:r>
        <w:rPr>
          <w:rFonts w:hint="eastAsia" w:ascii="宋体" w:hAnsi="宋体" w:eastAsia="宋体"/>
          <w:sz w:val="24"/>
          <w:szCs w:val="24"/>
          <w:lang w:val="en-US" w:eastAsia="zh-CN"/>
        </w:rPr>
        <w:t>费用于纠纷解决，乙方对此无异议且不得甲方返还相关费用，给甲方造成损失的，乙方还应承担赔偿责任。</w:t>
      </w:r>
    </w:p>
    <w:p w14:paraId="42EA41F9">
      <w:pPr>
        <w:pStyle w:val="14"/>
        <w:numPr>
          <w:ilvl w:val="0"/>
          <w:numId w:val="5"/>
        </w:numPr>
        <w:adjustRightInd w:val="0"/>
        <w:snapToGrid w:val="0"/>
        <w:spacing w:after="0" w:line="360" w:lineRule="auto"/>
        <w:ind w:left="0" w:leftChars="0" w:right="11" w:firstLine="420"/>
        <w:rPr>
          <w:rFonts w:hint="eastAsia" w:ascii="宋体" w:hAnsi="宋体" w:eastAsia="宋体"/>
          <w:sz w:val="24"/>
          <w:szCs w:val="24"/>
        </w:rPr>
      </w:pPr>
      <w:r>
        <w:rPr>
          <w:rFonts w:hint="eastAsia" w:ascii="宋体" w:hAnsi="宋体" w:eastAsia="宋体"/>
          <w:sz w:val="24"/>
          <w:szCs w:val="24"/>
        </w:rPr>
        <w:t>乙方要在工作中采取必需的一切安全防护措施以保障乙方员工的劳动安全。</w:t>
      </w:r>
      <w:r>
        <w:rPr>
          <w:rFonts w:hint="eastAsia" w:ascii="宋体" w:hAnsi="宋体" w:eastAsia="宋体"/>
          <w:sz w:val="24"/>
          <w:szCs w:val="24"/>
          <w:lang w:val="en-US" w:eastAsia="zh-CN"/>
        </w:rPr>
        <w:t>乙方应</w:t>
      </w:r>
      <w:r>
        <w:rPr>
          <w:rFonts w:hint="eastAsia" w:ascii="宋体" w:hAnsi="宋体" w:eastAsia="宋体"/>
          <w:sz w:val="24"/>
          <w:szCs w:val="24"/>
        </w:rPr>
        <w:t>教育员工严格遵守有关作业规定，现场符合安全管理要求，杜绝安全事故的发生，乙方工作人员发生安全事故的（含伤亡等），应由乙方承担全部责任且甲方有权扣除乙方本</w:t>
      </w:r>
      <w:r>
        <w:rPr>
          <w:rFonts w:hint="eastAsia" w:ascii="宋体" w:hAnsi="宋体"/>
          <w:sz w:val="24"/>
          <w:szCs w:val="24"/>
          <w:lang w:val="en-US" w:eastAsia="zh-CN"/>
        </w:rPr>
        <w:t>季</w:t>
      </w:r>
      <w:r>
        <w:rPr>
          <w:rFonts w:hint="eastAsia" w:ascii="宋体" w:hAnsi="宋体" w:eastAsia="宋体"/>
          <w:sz w:val="24"/>
          <w:szCs w:val="24"/>
        </w:rPr>
        <w:t>度</w:t>
      </w:r>
      <w:r>
        <w:rPr>
          <w:rFonts w:hint="eastAsia" w:ascii="宋体" w:hAnsi="宋体"/>
          <w:sz w:val="24"/>
          <w:szCs w:val="24"/>
          <w:lang w:val="en-US" w:eastAsia="zh-CN"/>
        </w:rPr>
        <w:t>维保</w:t>
      </w:r>
      <w:r>
        <w:rPr>
          <w:rFonts w:hint="eastAsia" w:ascii="宋体" w:hAnsi="宋体" w:eastAsia="宋体"/>
          <w:sz w:val="24"/>
          <w:szCs w:val="24"/>
        </w:rPr>
        <w:t>费用的【10%】。如甲方因此遭受任何损失的，乙方应予以赔偿</w:t>
      </w:r>
      <w:r>
        <w:rPr>
          <w:rFonts w:hint="eastAsia" w:ascii="宋体" w:hAnsi="宋体" w:eastAsia="宋体"/>
          <w:sz w:val="24"/>
          <w:szCs w:val="24"/>
          <w:lang w:eastAsia="zh-CN"/>
        </w:rPr>
        <w:t>，</w:t>
      </w:r>
      <w:r>
        <w:rPr>
          <w:rFonts w:hint="eastAsia" w:ascii="宋体" w:hAnsi="宋体" w:eastAsia="宋体"/>
          <w:color w:val="auto"/>
          <w:sz w:val="24"/>
          <w:szCs w:val="24"/>
        </w:rPr>
        <w:t>甲方可直接从</w:t>
      </w:r>
      <w:r>
        <w:rPr>
          <w:rFonts w:hint="eastAsia" w:ascii="宋体" w:hAnsi="宋体" w:eastAsia="宋体"/>
          <w:color w:val="auto"/>
          <w:sz w:val="24"/>
          <w:szCs w:val="24"/>
          <w:lang w:val="en-US" w:eastAsia="zh-CN"/>
        </w:rPr>
        <w:t>履约保证金或</w:t>
      </w:r>
      <w:r>
        <w:rPr>
          <w:rFonts w:hint="eastAsia" w:ascii="宋体" w:hAnsi="宋体" w:eastAsia="宋体"/>
          <w:color w:val="auto"/>
          <w:sz w:val="24"/>
          <w:szCs w:val="24"/>
        </w:rPr>
        <w:t>应向乙方支付的费用中扣减</w:t>
      </w:r>
      <w:r>
        <w:rPr>
          <w:rFonts w:hint="eastAsia" w:ascii="宋体" w:hAnsi="宋体" w:eastAsia="宋体"/>
          <w:color w:val="auto"/>
          <w:sz w:val="24"/>
          <w:szCs w:val="24"/>
          <w:lang w:val="en-US" w:eastAsia="zh-CN"/>
        </w:rPr>
        <w:t>相应</w:t>
      </w:r>
      <w:r>
        <w:rPr>
          <w:rFonts w:hint="eastAsia" w:ascii="宋体" w:hAnsi="宋体" w:eastAsia="宋体"/>
          <w:color w:val="auto"/>
          <w:sz w:val="24"/>
          <w:szCs w:val="24"/>
        </w:rPr>
        <w:t>赔偿金</w:t>
      </w:r>
      <w:r>
        <w:rPr>
          <w:rFonts w:hint="eastAsia" w:ascii="宋体" w:hAnsi="宋体" w:eastAsia="宋体"/>
          <w:sz w:val="24"/>
          <w:szCs w:val="24"/>
        </w:rPr>
        <w:t>。</w:t>
      </w:r>
    </w:p>
    <w:p w14:paraId="66604CC0">
      <w:pPr>
        <w:pStyle w:val="14"/>
        <w:numPr>
          <w:ilvl w:val="0"/>
          <w:numId w:val="5"/>
        </w:numPr>
        <w:adjustRightInd w:val="0"/>
        <w:snapToGrid w:val="0"/>
        <w:spacing w:after="0" w:line="360" w:lineRule="auto"/>
        <w:ind w:left="0" w:leftChars="0" w:right="11" w:firstLine="420"/>
        <w:rPr>
          <w:rFonts w:hint="eastAsia" w:ascii="宋体" w:hAnsi="宋体" w:eastAsia="宋体"/>
          <w:sz w:val="24"/>
          <w:szCs w:val="24"/>
        </w:rPr>
      </w:pPr>
      <w:r>
        <w:rPr>
          <w:rFonts w:hint="eastAsia" w:ascii="宋体" w:hAnsi="宋体" w:eastAsia="宋体"/>
          <w:sz w:val="24"/>
          <w:szCs w:val="24"/>
        </w:rPr>
        <w:t>乙方必须严格管理</w:t>
      </w:r>
      <w:r>
        <w:rPr>
          <w:rFonts w:hint="eastAsia" w:ascii="宋体" w:hAnsi="宋体" w:eastAsia="宋体"/>
          <w:sz w:val="24"/>
          <w:szCs w:val="24"/>
          <w:lang w:val="en-US" w:eastAsia="zh-CN"/>
        </w:rPr>
        <w:t>工作</w:t>
      </w:r>
      <w:r>
        <w:rPr>
          <w:rFonts w:hint="eastAsia" w:ascii="宋体" w:hAnsi="宋体" w:eastAsia="宋体"/>
          <w:sz w:val="24"/>
          <w:szCs w:val="24"/>
        </w:rPr>
        <w:t>人员，教育</w:t>
      </w:r>
      <w:r>
        <w:rPr>
          <w:rFonts w:hint="eastAsia" w:ascii="宋体" w:hAnsi="宋体" w:eastAsia="宋体"/>
          <w:sz w:val="24"/>
          <w:szCs w:val="24"/>
          <w:lang w:val="en-US" w:eastAsia="zh-CN"/>
        </w:rPr>
        <w:t>工作</w:t>
      </w:r>
      <w:r>
        <w:rPr>
          <w:rFonts w:hint="eastAsia" w:ascii="宋体" w:hAnsi="宋体" w:eastAsia="宋体"/>
          <w:sz w:val="24"/>
          <w:szCs w:val="24"/>
        </w:rPr>
        <w:t>人员严格遵守国家有关安全作业制度和规定，按照安全规程操作作业。乙方</w:t>
      </w:r>
      <w:r>
        <w:rPr>
          <w:rFonts w:hint="eastAsia" w:ascii="宋体" w:hAnsi="宋体" w:eastAsia="宋体"/>
          <w:sz w:val="24"/>
          <w:szCs w:val="24"/>
          <w:lang w:val="en-US" w:eastAsia="zh-CN"/>
        </w:rPr>
        <w:t>工作</w:t>
      </w:r>
      <w:r>
        <w:rPr>
          <w:rFonts w:hint="eastAsia" w:ascii="宋体" w:hAnsi="宋体" w:eastAsia="宋体"/>
          <w:sz w:val="24"/>
          <w:szCs w:val="24"/>
        </w:rPr>
        <w:t>人员作业时应使用合格的安全防护器具，在施工现场应设置安全警示标识</w:t>
      </w:r>
      <w:r>
        <w:rPr>
          <w:rFonts w:hint="eastAsia" w:ascii="宋体" w:hAnsi="宋体" w:eastAsia="宋体"/>
          <w:sz w:val="24"/>
          <w:szCs w:val="24"/>
          <w:lang w:eastAsia="zh-CN"/>
        </w:rPr>
        <w:t>；</w:t>
      </w:r>
      <w:r>
        <w:rPr>
          <w:rFonts w:hint="eastAsia" w:ascii="宋体" w:hAnsi="宋体" w:eastAsia="宋体"/>
          <w:sz w:val="24"/>
          <w:szCs w:val="24"/>
        </w:rPr>
        <w:t>从业人员必须持有有效上岗证（包括特殊作业人员操作上岗证）。属高空作业的，乙方应为作业者购买高空作业保险</w:t>
      </w:r>
      <w:r>
        <w:rPr>
          <w:rFonts w:hint="eastAsia" w:ascii="宋体" w:hAnsi="宋体" w:eastAsia="宋体"/>
          <w:sz w:val="24"/>
          <w:szCs w:val="24"/>
          <w:lang w:eastAsia="zh-CN"/>
        </w:rPr>
        <w:t>，</w:t>
      </w:r>
      <w:r>
        <w:rPr>
          <w:rFonts w:hint="eastAsia" w:ascii="宋体" w:hAnsi="宋体" w:eastAsia="宋体"/>
          <w:sz w:val="24"/>
          <w:szCs w:val="24"/>
        </w:rPr>
        <w:t>相关上岗证、保险单据复印报甲方备案。</w:t>
      </w:r>
    </w:p>
    <w:p w14:paraId="4F7F54B6">
      <w:pPr>
        <w:pStyle w:val="14"/>
        <w:numPr>
          <w:ilvl w:val="0"/>
          <w:numId w:val="5"/>
        </w:numPr>
        <w:adjustRightInd w:val="0"/>
        <w:snapToGrid w:val="0"/>
        <w:spacing w:after="0" w:line="360" w:lineRule="auto"/>
        <w:ind w:left="0" w:leftChars="0" w:right="11" w:firstLine="420"/>
        <w:rPr>
          <w:rFonts w:hint="eastAsia" w:ascii="宋体" w:hAnsi="宋体" w:eastAsia="宋体"/>
          <w:sz w:val="24"/>
          <w:szCs w:val="24"/>
        </w:rPr>
      </w:pPr>
      <w:r>
        <w:rPr>
          <w:rFonts w:hint="eastAsia" w:ascii="宋体" w:hAnsi="宋体" w:eastAsia="宋体"/>
          <w:sz w:val="24"/>
          <w:szCs w:val="24"/>
        </w:rPr>
        <w:t>乙方应对自己员工的安全负责，乙方工作人员在工作中如发生安全事故或违法、违章行为，其后果</w:t>
      </w:r>
      <w:r>
        <w:rPr>
          <w:rFonts w:hint="eastAsia" w:ascii="宋体" w:hAnsi="宋体"/>
          <w:sz w:val="24"/>
          <w:szCs w:val="24"/>
          <w:lang w:val="en-US" w:eastAsia="zh-CN"/>
        </w:rPr>
        <w:t>及责任、损失</w:t>
      </w:r>
      <w:r>
        <w:rPr>
          <w:rFonts w:hint="eastAsia" w:ascii="宋体" w:hAnsi="宋体" w:eastAsia="宋体"/>
          <w:sz w:val="24"/>
          <w:szCs w:val="24"/>
        </w:rPr>
        <w:t>由乙方自行负责，甲方不承担任何责任和费用；乙方在履行合同过程中，给甲方或第三方造成人身或财产损失的，由乙方承担全部赔偿责任。</w:t>
      </w:r>
    </w:p>
    <w:p w14:paraId="38BD42AF">
      <w:pPr>
        <w:pStyle w:val="14"/>
        <w:numPr>
          <w:ilvl w:val="0"/>
          <w:numId w:val="5"/>
        </w:numPr>
        <w:adjustRightInd w:val="0"/>
        <w:snapToGrid w:val="0"/>
        <w:spacing w:after="0" w:line="360" w:lineRule="auto"/>
        <w:ind w:left="0" w:leftChars="0" w:right="11" w:firstLine="420"/>
        <w:rPr>
          <w:rFonts w:hint="eastAsia" w:ascii="宋体" w:hAnsi="宋体" w:eastAsia="宋体"/>
          <w:sz w:val="24"/>
          <w:szCs w:val="24"/>
        </w:rPr>
      </w:pPr>
      <w:r>
        <w:rPr>
          <w:rFonts w:hint="eastAsia" w:ascii="宋体" w:hAnsi="宋体" w:eastAsia="宋体"/>
          <w:sz w:val="24"/>
          <w:szCs w:val="24"/>
          <w:lang w:val="en-US" w:eastAsia="zh-CN"/>
        </w:rPr>
        <w:t>乙方至少应为工作人员购买【</w:t>
      </w:r>
      <w:r>
        <w:rPr>
          <w:rFonts w:hint="eastAsia" w:ascii="宋体" w:hAnsi="宋体" w:eastAsia="宋体"/>
          <w:sz w:val="24"/>
          <w:szCs w:val="24"/>
        </w:rPr>
        <w:t>意外险</w:t>
      </w:r>
      <w:r>
        <w:rPr>
          <w:rFonts w:hint="eastAsia" w:ascii="宋体" w:hAnsi="宋体" w:eastAsia="宋体"/>
          <w:sz w:val="24"/>
          <w:szCs w:val="24"/>
          <w:lang w:val="en-US" w:eastAsia="zh-CN"/>
        </w:rPr>
        <w:t>或</w:t>
      </w:r>
      <w:r>
        <w:rPr>
          <w:rFonts w:hint="eastAsia" w:ascii="宋体" w:hAnsi="宋体" w:eastAsia="宋体"/>
          <w:sz w:val="24"/>
          <w:szCs w:val="24"/>
        </w:rPr>
        <w:t>雇主责任险</w:t>
      </w:r>
      <w:r>
        <w:rPr>
          <w:rFonts w:hint="eastAsia" w:ascii="宋体" w:hAnsi="宋体" w:eastAsia="宋体"/>
          <w:sz w:val="24"/>
          <w:szCs w:val="24"/>
          <w:lang w:val="en-US" w:eastAsia="zh-CN"/>
        </w:rPr>
        <w:t>】等</w:t>
      </w:r>
      <w:r>
        <w:rPr>
          <w:rFonts w:hint="eastAsia" w:ascii="宋体" w:hAnsi="宋体" w:eastAsia="宋体"/>
          <w:sz w:val="24"/>
          <w:szCs w:val="24"/>
        </w:rPr>
        <w:t>商业保险，且保险赔付额度不低于</w:t>
      </w:r>
      <w:r>
        <w:rPr>
          <w:rFonts w:hint="eastAsia" w:ascii="宋体" w:hAnsi="宋体" w:eastAsia="宋体"/>
          <w:sz w:val="24"/>
          <w:szCs w:val="24"/>
          <w:lang w:eastAsia="zh-CN"/>
        </w:rPr>
        <w:t>【</w:t>
      </w:r>
      <w:r>
        <w:rPr>
          <w:rFonts w:hint="eastAsia" w:ascii="宋体" w:hAnsi="宋体" w:eastAsia="宋体"/>
          <w:sz w:val="24"/>
          <w:szCs w:val="24"/>
        </w:rPr>
        <w:t>150万元/人次</w:t>
      </w:r>
      <w:r>
        <w:rPr>
          <w:rFonts w:hint="eastAsia" w:ascii="宋体" w:hAnsi="宋体" w:eastAsia="宋体"/>
          <w:sz w:val="24"/>
          <w:szCs w:val="24"/>
          <w:lang w:eastAsia="zh-CN"/>
        </w:rPr>
        <w:t>】，</w:t>
      </w:r>
      <w:r>
        <w:rPr>
          <w:rFonts w:hint="eastAsia" w:ascii="宋体" w:hAnsi="宋体" w:eastAsia="宋体"/>
          <w:sz w:val="24"/>
          <w:szCs w:val="24"/>
          <w:lang w:val="en-US" w:eastAsia="zh-CN"/>
        </w:rPr>
        <w:t>乙方</w:t>
      </w:r>
      <w:r>
        <w:rPr>
          <w:rFonts w:hint="eastAsia" w:ascii="宋体" w:hAnsi="宋体" w:eastAsia="宋体"/>
          <w:sz w:val="24"/>
          <w:szCs w:val="24"/>
        </w:rPr>
        <w:t>进场</w:t>
      </w:r>
      <w:r>
        <w:rPr>
          <w:rFonts w:hint="eastAsia" w:ascii="宋体" w:hAnsi="宋体" w:eastAsia="宋体"/>
          <w:sz w:val="24"/>
          <w:szCs w:val="24"/>
          <w:lang w:val="en-US" w:eastAsia="zh-CN"/>
        </w:rPr>
        <w:t>后</w:t>
      </w:r>
      <w:r>
        <w:rPr>
          <w:rFonts w:hint="eastAsia" w:ascii="宋体" w:hAnsi="宋体" w:eastAsia="宋体"/>
          <w:sz w:val="24"/>
          <w:szCs w:val="24"/>
          <w:lang w:eastAsia="zh-CN"/>
        </w:rPr>
        <w:t>【</w:t>
      </w:r>
      <w:r>
        <w:rPr>
          <w:rFonts w:hint="eastAsia" w:ascii="宋体" w:hAnsi="宋体" w:eastAsia="宋体"/>
          <w:sz w:val="24"/>
          <w:szCs w:val="24"/>
          <w:lang w:val="en-US" w:eastAsia="zh-CN"/>
        </w:rPr>
        <w:t xml:space="preserve"> 5日内 </w:t>
      </w:r>
      <w:r>
        <w:rPr>
          <w:rFonts w:hint="eastAsia" w:ascii="宋体" w:hAnsi="宋体" w:eastAsia="宋体"/>
          <w:sz w:val="24"/>
          <w:szCs w:val="24"/>
          <w:lang w:eastAsia="zh-CN"/>
        </w:rPr>
        <w:t>】</w:t>
      </w:r>
      <w:r>
        <w:rPr>
          <w:rFonts w:hint="eastAsia" w:ascii="宋体" w:hAnsi="宋体" w:eastAsia="宋体"/>
          <w:sz w:val="24"/>
          <w:szCs w:val="24"/>
          <w:lang w:val="en-US" w:eastAsia="zh-CN"/>
        </w:rPr>
        <w:t>应将</w:t>
      </w:r>
      <w:r>
        <w:rPr>
          <w:rFonts w:hint="eastAsia" w:ascii="宋体" w:hAnsi="宋体" w:eastAsia="宋体"/>
          <w:sz w:val="24"/>
          <w:szCs w:val="24"/>
        </w:rPr>
        <w:t>保险单据</w:t>
      </w:r>
      <w:r>
        <w:rPr>
          <w:rFonts w:hint="eastAsia" w:ascii="宋体" w:hAnsi="宋体" w:eastAsia="宋体"/>
          <w:sz w:val="24"/>
          <w:szCs w:val="24"/>
          <w:lang w:val="en-US" w:eastAsia="zh-CN"/>
        </w:rPr>
        <w:t>原件交甲方项目</w:t>
      </w:r>
      <w:r>
        <w:rPr>
          <w:rFonts w:hint="eastAsia" w:ascii="宋体" w:hAnsi="宋体" w:eastAsia="宋体"/>
          <w:sz w:val="24"/>
          <w:szCs w:val="24"/>
        </w:rPr>
        <w:t>物业服务中心</w:t>
      </w:r>
      <w:r>
        <w:rPr>
          <w:rFonts w:hint="eastAsia" w:ascii="宋体" w:hAnsi="宋体" w:eastAsia="宋体"/>
          <w:sz w:val="24"/>
          <w:szCs w:val="24"/>
          <w:lang w:val="en-US" w:eastAsia="zh-CN"/>
        </w:rPr>
        <w:t>核验</w:t>
      </w:r>
      <w:r>
        <w:rPr>
          <w:rFonts w:hint="eastAsia" w:ascii="宋体" w:hAnsi="宋体" w:eastAsia="宋体"/>
          <w:sz w:val="24"/>
          <w:szCs w:val="24"/>
        </w:rPr>
        <w:t>，</w:t>
      </w:r>
      <w:r>
        <w:rPr>
          <w:rFonts w:hint="eastAsia" w:ascii="宋体" w:hAnsi="宋体" w:eastAsia="宋体"/>
          <w:sz w:val="24"/>
          <w:szCs w:val="24"/>
          <w:lang w:val="en-US" w:eastAsia="zh-CN"/>
        </w:rPr>
        <w:t>并将保单复印件交甲方留存备案</w:t>
      </w:r>
      <w:r>
        <w:rPr>
          <w:rFonts w:hint="eastAsia" w:ascii="宋体" w:hAnsi="宋体" w:eastAsia="宋体"/>
          <w:sz w:val="24"/>
          <w:szCs w:val="24"/>
          <w:lang w:eastAsia="zh-CN"/>
        </w:rPr>
        <w:t>。</w:t>
      </w:r>
      <w:r>
        <w:rPr>
          <w:rFonts w:hint="eastAsia" w:ascii="宋体" w:hAnsi="宋体" w:eastAsia="宋体"/>
          <w:sz w:val="24"/>
          <w:szCs w:val="24"/>
          <w:lang w:val="en-US" w:eastAsia="zh-CN"/>
        </w:rPr>
        <w:t>如乙方工作</w:t>
      </w:r>
      <w:r>
        <w:rPr>
          <w:rFonts w:hint="eastAsia" w:ascii="宋体" w:hAnsi="宋体" w:eastAsia="宋体"/>
          <w:sz w:val="24"/>
          <w:szCs w:val="24"/>
        </w:rPr>
        <w:t>人员更替，</w:t>
      </w:r>
      <w:r>
        <w:rPr>
          <w:rFonts w:hint="eastAsia" w:ascii="宋体" w:hAnsi="宋体" w:eastAsia="宋体"/>
          <w:sz w:val="24"/>
          <w:szCs w:val="24"/>
          <w:lang w:val="en-US" w:eastAsia="zh-CN"/>
        </w:rPr>
        <w:t>乙方应在工作人员委派至甲方项目现场后</w:t>
      </w:r>
      <w:r>
        <w:rPr>
          <w:rFonts w:hint="eastAsia" w:ascii="宋体" w:hAnsi="宋体" w:eastAsia="宋体"/>
          <w:sz w:val="24"/>
          <w:szCs w:val="24"/>
          <w:lang w:eastAsia="zh-CN"/>
        </w:rPr>
        <w:t>【</w:t>
      </w:r>
      <w:r>
        <w:rPr>
          <w:rFonts w:hint="eastAsia" w:ascii="宋体" w:hAnsi="宋体" w:eastAsia="宋体"/>
          <w:sz w:val="24"/>
          <w:szCs w:val="24"/>
          <w:lang w:val="en-US" w:eastAsia="zh-CN"/>
        </w:rPr>
        <w:t xml:space="preserve"> 5日内 </w:t>
      </w:r>
      <w:r>
        <w:rPr>
          <w:rFonts w:hint="eastAsia" w:ascii="宋体" w:hAnsi="宋体" w:eastAsia="宋体"/>
          <w:sz w:val="24"/>
          <w:szCs w:val="24"/>
          <w:lang w:eastAsia="zh-CN"/>
        </w:rPr>
        <w:t>】，</w:t>
      </w:r>
      <w:r>
        <w:rPr>
          <w:rFonts w:hint="eastAsia" w:ascii="宋体" w:hAnsi="宋体" w:eastAsia="宋体"/>
          <w:sz w:val="24"/>
          <w:szCs w:val="24"/>
          <w:lang w:val="en-US" w:eastAsia="zh-CN"/>
        </w:rPr>
        <w:t>按前述约定将商业保单复印件交甲方备案</w:t>
      </w:r>
      <w:r>
        <w:rPr>
          <w:rFonts w:hint="eastAsia" w:ascii="宋体" w:hAnsi="宋体" w:eastAsia="宋体"/>
          <w:sz w:val="24"/>
          <w:szCs w:val="24"/>
        </w:rPr>
        <w:t>。</w:t>
      </w:r>
    </w:p>
    <w:p w14:paraId="5AD97FC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b/>
          <w:bCs/>
          <w:i/>
          <w:iCs/>
          <w:color w:val="FF0000"/>
          <w:sz w:val="24"/>
          <w:szCs w:val="24"/>
          <w:highlight w:val="none"/>
          <w:lang w:val="en-US" w:eastAsia="zh-CN"/>
        </w:rPr>
      </w:pPr>
      <w:r>
        <w:rPr>
          <w:rFonts w:hint="eastAsia" w:ascii="宋体" w:hAnsi="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lang w:val="en-US" w:eastAsia="zh-CN"/>
        </w:rPr>
        <w:t>维护保养费</w:t>
      </w:r>
    </w:p>
    <w:p w14:paraId="428926F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（一）</w:t>
      </w:r>
      <w:r>
        <w:rPr>
          <w:rFonts w:hint="eastAsia" w:ascii="宋体" w:hAnsi="宋体" w:eastAsia="宋体" w:cs="宋体"/>
          <w:b/>
          <w:bCs/>
          <w:color w:val="auto"/>
          <w:sz w:val="24"/>
          <w:szCs w:val="24"/>
          <w:highlight w:val="none"/>
          <w:lang w:val="en-US" w:eastAsia="zh-CN"/>
        </w:rPr>
        <w:t>维保费用</w:t>
      </w:r>
    </w:p>
    <w:p w14:paraId="5DD4ECD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维保</w:t>
      </w:r>
      <w:r>
        <w:rPr>
          <w:rFonts w:hint="eastAsia" w:ascii="宋体" w:hAnsi="宋体" w:eastAsia="宋体" w:cs="宋体"/>
          <w:color w:val="auto"/>
          <w:sz w:val="24"/>
          <w:szCs w:val="24"/>
          <w:highlight w:val="none"/>
          <w:lang w:val="en-US" w:eastAsia="zh-CN"/>
        </w:rPr>
        <w:t>总</w:t>
      </w:r>
      <w:r>
        <w:rPr>
          <w:rFonts w:hint="eastAsia" w:ascii="宋体" w:hAnsi="宋体" w:eastAsia="宋体" w:cs="宋体"/>
          <w:color w:val="auto"/>
          <w:sz w:val="24"/>
          <w:szCs w:val="24"/>
          <w:highlight w:val="none"/>
        </w:rPr>
        <w:t>费用：合计含税价￥</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rPr>
        <w:t>元</w:t>
      </w:r>
      <w:r>
        <w:rPr>
          <w:rFonts w:hint="eastAsia" w:ascii="宋体" w:hAnsi="宋体" w:eastAsia="宋体" w:cs="宋体"/>
          <w:color w:val="auto"/>
          <w:sz w:val="24"/>
          <w:szCs w:val="24"/>
          <w:highlight w:val="none"/>
        </w:rPr>
        <w:t>（不含改造费用，包工、按照约定包料），不含税价￥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none"/>
        </w:rPr>
        <w:t>元</w:t>
      </w:r>
      <w:r>
        <w:rPr>
          <w:rFonts w:hint="eastAsia" w:ascii="宋体" w:hAnsi="宋体" w:eastAsia="宋体" w:cs="宋体"/>
          <w:color w:val="auto"/>
          <w:sz w:val="24"/>
          <w:szCs w:val="24"/>
          <w:highlight w:val="none"/>
        </w:rPr>
        <w:t>。含税价格=不含税价+不含税价×增值税率（该税率指乙方提供增值税发票上显示的税率）。乙方为【小规模纳税人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一般纳税人】，应向甲方提供税率为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的【增值税专用发票</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增值税普通发票】。</w:t>
      </w:r>
    </w:p>
    <w:p w14:paraId="611672F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维保</w:t>
      </w:r>
      <w:r>
        <w:rPr>
          <w:rFonts w:hint="eastAsia" w:ascii="宋体" w:hAnsi="宋体" w:eastAsia="宋体" w:cs="宋体"/>
          <w:color w:val="auto"/>
          <w:sz w:val="24"/>
          <w:szCs w:val="24"/>
          <w:highlight w:val="none"/>
        </w:rPr>
        <w:t>总费用包括乙方人工成本（包括但不限于乙方人员工资、社会保险费、福利待遇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交通费</w:t>
      </w:r>
      <w:r>
        <w:rPr>
          <w:rFonts w:hint="eastAsia" w:ascii="宋体" w:hAnsi="宋体" w:eastAsia="宋体" w:cs="宋体"/>
          <w:color w:val="auto"/>
          <w:sz w:val="24"/>
          <w:szCs w:val="24"/>
          <w:highlight w:val="none"/>
        </w:rPr>
        <w:t>等）、利润、税金</w:t>
      </w:r>
      <w:r>
        <w:rPr>
          <w:rFonts w:hint="eastAsia" w:ascii="宋体" w:hAnsi="宋体" w:eastAsia="宋体" w:cs="宋体"/>
          <w:color w:val="auto"/>
          <w:sz w:val="24"/>
          <w:szCs w:val="24"/>
          <w:highlight w:val="none"/>
          <w:lang w:val="en-US" w:eastAsia="zh-CN"/>
        </w:rPr>
        <w:t>和其他</w:t>
      </w:r>
      <w:r>
        <w:rPr>
          <w:rFonts w:hint="eastAsia" w:ascii="宋体" w:hAnsi="宋体" w:eastAsia="宋体" w:cs="宋体"/>
          <w:color w:val="auto"/>
          <w:sz w:val="24"/>
          <w:szCs w:val="24"/>
          <w:highlight w:val="none"/>
        </w:rPr>
        <w:t>为甲方</w:t>
      </w:r>
      <w:r>
        <w:rPr>
          <w:rFonts w:hint="eastAsia" w:ascii="宋体" w:hAnsi="宋体" w:eastAsia="宋体" w:cs="宋体"/>
          <w:color w:val="auto"/>
          <w:sz w:val="24"/>
          <w:szCs w:val="24"/>
          <w:highlight w:val="none"/>
          <w:lang w:val="en-US" w:eastAsia="zh-CN"/>
        </w:rPr>
        <w:t>提供维保</w:t>
      </w:r>
      <w:r>
        <w:rPr>
          <w:rFonts w:hint="eastAsia" w:ascii="宋体" w:hAnsi="宋体" w:eastAsia="宋体" w:cs="宋体"/>
          <w:color w:val="auto"/>
          <w:sz w:val="24"/>
          <w:szCs w:val="24"/>
          <w:highlight w:val="none"/>
        </w:rPr>
        <w:t>服务</w:t>
      </w:r>
      <w:r>
        <w:rPr>
          <w:rFonts w:hint="eastAsia" w:ascii="宋体" w:hAnsi="宋体" w:eastAsia="宋体" w:cs="宋体"/>
          <w:color w:val="auto"/>
          <w:sz w:val="24"/>
          <w:szCs w:val="24"/>
          <w:highlight w:val="none"/>
          <w:lang w:val="en-US" w:eastAsia="zh-CN"/>
        </w:rPr>
        <w:t>而</w:t>
      </w:r>
      <w:r>
        <w:rPr>
          <w:rFonts w:hint="eastAsia" w:ascii="宋体" w:hAnsi="宋体" w:eastAsia="宋体" w:cs="宋体"/>
          <w:color w:val="auto"/>
          <w:sz w:val="24"/>
          <w:szCs w:val="24"/>
          <w:highlight w:val="none"/>
        </w:rPr>
        <w:t>产生的一切费用。除</w:t>
      </w:r>
      <w:r>
        <w:rPr>
          <w:rFonts w:hint="eastAsia" w:ascii="宋体" w:hAnsi="宋体" w:eastAsia="宋体" w:cs="宋体"/>
          <w:color w:val="auto"/>
          <w:sz w:val="24"/>
          <w:szCs w:val="24"/>
          <w:highlight w:val="none"/>
          <w:lang w:val="en-US" w:eastAsia="zh-CN"/>
        </w:rPr>
        <w:t>双方另有约定</w:t>
      </w:r>
      <w:r>
        <w:rPr>
          <w:rFonts w:hint="eastAsia" w:ascii="宋体" w:hAnsi="宋体" w:eastAsia="宋体" w:cs="宋体"/>
          <w:color w:val="auto"/>
          <w:sz w:val="24"/>
          <w:szCs w:val="24"/>
          <w:highlight w:val="none"/>
        </w:rPr>
        <w:t>之外，甲方无需向乙方支付任何费用。</w:t>
      </w:r>
    </w:p>
    <w:p w14:paraId="538E256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合同中所涉及的款项（包括但不限于合同价款、价外费用等），如无特殊说明，均为包含增值税金额。在合同履行期内，如国家税收政策发生变化，自税率调整之日起，甲方按调整后的税率计算承包费，合同总价相应调整；调整后的含税价格=不含税价+不含税价×调整后增值税率。</w:t>
      </w:r>
    </w:p>
    <w:p w14:paraId="3A57150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本合同在履行过程中，如因甲方与【业主方】签订的《物业服务合同》发生变更，导致物业服务费标准降低的，则本合同价款同比例下降，甲乙双方就变更后的合同价款另行签署补充协议；如乙方拒绝调整本合同价款，则甲方有权单方面解除本合同而不构成违约，乙方对此无异议并同意遵照执行。</w:t>
      </w:r>
    </w:p>
    <w:p w14:paraId="074566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eastAsia="zh-CN"/>
        </w:rPr>
        <w:t>（二）</w:t>
      </w:r>
      <w:r>
        <w:rPr>
          <w:rFonts w:hint="eastAsia" w:ascii="宋体" w:hAnsi="宋体" w:eastAsia="宋体" w:cs="宋体"/>
          <w:b/>
          <w:bCs/>
          <w:color w:val="auto"/>
          <w:sz w:val="24"/>
          <w:szCs w:val="24"/>
          <w:highlight w:val="none"/>
          <w:lang w:val="en-US" w:eastAsia="zh-CN"/>
        </w:rPr>
        <w:t>付款方式</w:t>
      </w:r>
    </w:p>
    <w:p w14:paraId="4F1356D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在合同约定的消防维保服务期间，若未发生任何维保质量问题，且乙方已提供经甲方每月签字确认的维保记录，并于维保期满后出具一份由维保单位委托第三方消防设施检测机构完成的完整检测合格报告，则待所有资料齐备并经甲方验收合格后，维保费按每年度一次进行结算。</w:t>
      </w:r>
      <w:bookmarkStart w:id="117" w:name="_GoBack"/>
      <w:bookmarkEnd w:id="117"/>
    </w:p>
    <w:p w14:paraId="62437F2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2.维保工作完成，且经甲方审核，乙方满足合同条款要求后，乙方应提供【上</w:t>
      </w:r>
      <w:r>
        <w:rPr>
          <w:rFonts w:hint="eastAsia" w:ascii="宋体" w:hAnsi="宋体" w:cs="宋体"/>
          <w:b w:val="0"/>
          <w:bCs w:val="0"/>
          <w:color w:val="auto"/>
          <w:sz w:val="24"/>
          <w:szCs w:val="24"/>
          <w:highlight w:val="none"/>
          <w:lang w:val="en-US" w:eastAsia="zh-CN"/>
        </w:rPr>
        <w:t>年度</w:t>
      </w:r>
      <w:r>
        <w:rPr>
          <w:rFonts w:hint="eastAsia" w:ascii="宋体" w:hAnsi="宋体" w:eastAsia="宋体" w:cs="宋体"/>
          <w:b w:val="0"/>
          <w:bCs w:val="0"/>
          <w:color w:val="auto"/>
          <w:sz w:val="24"/>
          <w:szCs w:val="24"/>
          <w:highlight w:val="none"/>
          <w:lang w:val="en-US" w:eastAsia="zh-CN"/>
        </w:rPr>
        <w:t>】等额增值税【专用</w:t>
      </w:r>
      <w:r>
        <w:rPr>
          <w:rFonts w:hint="eastAsia" w:ascii="宋体" w:hAnsi="宋体" w:cs="宋体"/>
          <w:b w:val="0"/>
          <w:bCs w:val="0"/>
          <w:color w:val="auto"/>
          <w:sz w:val="24"/>
          <w:szCs w:val="24"/>
          <w:highlight w:val="none"/>
          <w:lang w:val="en-US" w:eastAsia="zh-CN"/>
        </w:rPr>
        <w:t>发票</w:t>
      </w:r>
      <w:r>
        <w:rPr>
          <w:rFonts w:hint="eastAsia" w:ascii="宋体" w:hAnsi="宋体" w:eastAsia="宋体" w:cs="宋体"/>
          <w:b w:val="0"/>
          <w:bCs w:val="0"/>
          <w:color w:val="auto"/>
          <w:sz w:val="24"/>
          <w:szCs w:val="24"/>
          <w:highlight w:val="none"/>
          <w:lang w:val="en-US" w:eastAsia="zh-CN"/>
        </w:rPr>
        <w:t>】给甲方，甲方在收到有效的增值税发票后【20】个工作日内付清上【</w:t>
      </w:r>
      <w:r>
        <w:rPr>
          <w:rFonts w:hint="eastAsia" w:ascii="宋体" w:hAnsi="宋体" w:cs="宋体"/>
          <w:b w:val="0"/>
          <w:bCs w:val="0"/>
          <w:color w:val="auto"/>
          <w:sz w:val="24"/>
          <w:szCs w:val="24"/>
          <w:highlight w:val="none"/>
          <w:lang w:val="en-US" w:eastAsia="zh-CN"/>
        </w:rPr>
        <w:t>年度</w:t>
      </w:r>
      <w:r>
        <w:rPr>
          <w:rFonts w:hint="eastAsia" w:ascii="宋体" w:hAnsi="宋体" w:eastAsia="宋体" w:cs="宋体"/>
          <w:b w:val="0"/>
          <w:bCs w:val="0"/>
          <w:color w:val="auto"/>
          <w:sz w:val="24"/>
          <w:szCs w:val="24"/>
          <w:highlight w:val="none"/>
          <w:lang w:val="en-US" w:eastAsia="zh-CN"/>
        </w:rPr>
        <w:t>】维保费用。</w:t>
      </w:r>
    </w:p>
    <w:p w14:paraId="514C33E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3.由甲方同意乙方购买的材料和备件费用，凭购买时开具的增值税【专用】发票，经甲方有关部门审批后，向甲方报销取款。</w:t>
      </w:r>
    </w:p>
    <w:p w14:paraId="5665F25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4.乙方违约金采用扣除维保费用的方法。在支付当期维保费用时，由甲方从维保费用中扣除等额违约金。</w:t>
      </w:r>
    </w:p>
    <w:p w14:paraId="00F8A3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乙方在开具增值税发票之日起【5】日内将发票送达至甲方，甲方签收发票的日期为送达日期。因乙方开具的发票不合法或因存在瑕疵不能通过税务认证，乙方承诺在接到甲方通知后的【5】日内重新开具合格的增值税发票并送达至甲方，如给甲方造成损失，乙方应承担赔偿责任。因乙方未按时向甲方开具合格的增值税发票导致付款延迟，由乙方自行承担责任。</w:t>
      </w:r>
    </w:p>
    <w:p w14:paraId="516FB8D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6.本合同的服务主体、收款主体和发票开具主体均为乙方。甲方将每期</w:t>
      </w:r>
      <w:r>
        <w:rPr>
          <w:rFonts w:hint="eastAsia" w:ascii="宋体" w:hAnsi="宋体" w:cs="宋体"/>
          <w:b w:val="0"/>
          <w:bCs w:val="0"/>
          <w:color w:val="auto"/>
          <w:sz w:val="24"/>
          <w:szCs w:val="24"/>
          <w:highlight w:val="none"/>
          <w:lang w:val="en-US" w:eastAsia="zh-CN"/>
        </w:rPr>
        <w:t>维保</w:t>
      </w:r>
      <w:r>
        <w:rPr>
          <w:rFonts w:hint="eastAsia" w:ascii="宋体" w:hAnsi="宋体" w:eastAsia="宋体" w:cs="宋体"/>
          <w:b w:val="0"/>
          <w:bCs w:val="0"/>
          <w:color w:val="auto"/>
          <w:sz w:val="24"/>
          <w:szCs w:val="24"/>
          <w:highlight w:val="none"/>
          <w:lang w:val="en-US" w:eastAsia="zh-CN"/>
        </w:rPr>
        <w:t>费用支付至乙方指定的收款账号内，视为甲方已履行付款义务。如乙方收款信息发生变更，应当在变更后【5】个工作日内以书面形式通知甲方，因乙方未及时通知或提供的收款信息不准确而产生的损失由乙方自行承担。</w:t>
      </w:r>
    </w:p>
    <w:p w14:paraId="2836604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7.发票开具信息</w:t>
      </w:r>
    </w:p>
    <w:p w14:paraId="772C67E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乙方应保证其具有</w:t>
      </w:r>
      <w:r>
        <w:rPr>
          <w:rFonts w:hint="eastAsia" w:ascii="宋体" w:hAnsi="宋体" w:eastAsia="宋体" w:cs="宋体"/>
          <w:color w:val="auto"/>
          <w:sz w:val="24"/>
          <w:szCs w:val="24"/>
          <w:highlight w:val="none"/>
        </w:rPr>
        <w:t>【小规模纳税人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一般纳税人】</w:t>
      </w:r>
      <w:r>
        <w:rPr>
          <w:rFonts w:hint="eastAsia" w:ascii="宋体" w:hAnsi="宋体" w:eastAsia="宋体" w:cs="宋体"/>
          <w:b w:val="0"/>
          <w:bCs w:val="0"/>
          <w:color w:val="auto"/>
          <w:sz w:val="24"/>
          <w:szCs w:val="24"/>
          <w:highlight w:val="none"/>
          <w:lang w:val="en-US" w:eastAsia="zh-CN"/>
        </w:rPr>
        <w:t>资质，且发票合法有效，具体开具发票信息如下：</w:t>
      </w:r>
    </w:p>
    <w:p w14:paraId="332FB60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2"/>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（1）甲方信息</w:t>
      </w:r>
    </w:p>
    <w:p w14:paraId="0D200CA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公司名称：【   】</w:t>
      </w:r>
    </w:p>
    <w:p w14:paraId="469F194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纳税人识别号：【   】</w:t>
      </w:r>
    </w:p>
    <w:p w14:paraId="0BC73F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税务登记地址：【   】</w:t>
      </w:r>
    </w:p>
    <w:p w14:paraId="79B76E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电话号码：【   】</w:t>
      </w:r>
    </w:p>
    <w:p w14:paraId="23B4103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开户银行：【   】</w:t>
      </w:r>
    </w:p>
    <w:p w14:paraId="2114BFF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银行账号：【   】</w:t>
      </w:r>
    </w:p>
    <w:p w14:paraId="62A8270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2"/>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（2）乙方信息</w:t>
      </w:r>
    </w:p>
    <w:p w14:paraId="2A68D97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公司名称： 【   】</w:t>
      </w:r>
    </w:p>
    <w:p w14:paraId="212C249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纳税人识别号：【   】</w:t>
      </w:r>
    </w:p>
    <w:p w14:paraId="73C8FB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税务登记地址：【   】</w:t>
      </w:r>
    </w:p>
    <w:p w14:paraId="1CF8EAF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电话号码：【   】</w:t>
      </w:r>
    </w:p>
    <w:p w14:paraId="7A3B47D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开户银行：【   】</w:t>
      </w:r>
    </w:p>
    <w:p w14:paraId="03FD78B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银行账号：【   】</w:t>
      </w:r>
    </w:p>
    <w:p w14:paraId="357DB473">
      <w:pPr>
        <w:keepNext w:val="0"/>
        <w:keepLines w:val="0"/>
        <w:numPr>
          <w:ilvl w:val="0"/>
          <w:numId w:val="0"/>
        </w:numPr>
        <w:spacing w:line="360" w:lineRule="auto"/>
        <w:ind w:firstLine="482" w:firstLineChars="200"/>
        <w:jc w:val="left"/>
        <w:outlineLvl w:val="0"/>
        <w:rPr>
          <w:rFonts w:hint="eastAsia" w:ascii="宋体" w:hAnsi="宋体" w:eastAsia="宋体" w:cs="宋体"/>
          <w:b/>
          <w:bCs/>
          <w:color w:val="auto"/>
          <w:sz w:val="24"/>
          <w:highlight w:val="none"/>
          <w:lang w:val="en-US" w:eastAsia="zh-CN"/>
        </w:rPr>
      </w:pPr>
      <w:r>
        <w:rPr>
          <w:rFonts w:hint="eastAsia" w:ascii="宋体" w:hAnsi="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lang w:val="en-US" w:eastAsia="zh-CN"/>
        </w:rPr>
        <w:t>、履约保证金</w:t>
      </w:r>
    </w:p>
    <w:p w14:paraId="3FA0D95E">
      <w:pPr>
        <w:numPr>
          <w:ilvl w:val="0"/>
          <w:numId w:val="0"/>
        </w:numPr>
        <w:adjustRightInd w:val="0"/>
        <w:snapToGrid w:val="0"/>
        <w:spacing w:line="360" w:lineRule="auto"/>
        <w:ind w:right="11" w:firstLine="484" w:firstLineChars="202"/>
        <w:rPr>
          <w:rFonts w:ascii="宋体" w:hAnsi="宋体"/>
          <w:sz w:val="24"/>
          <w:szCs w:val="24"/>
        </w:rPr>
      </w:pPr>
      <w:r>
        <w:rPr>
          <w:rFonts w:hint="eastAsia" w:ascii="宋体" w:hAnsi="宋体" w:eastAsia="宋体" w:cs="Times New Roman"/>
          <w:kern w:val="2"/>
          <w:sz w:val="24"/>
          <w:szCs w:val="24"/>
          <w:lang w:val="en-US" w:eastAsia="zh-CN" w:bidi="ar-SA"/>
        </w:rPr>
        <w:t>（一）</w:t>
      </w:r>
      <w:r>
        <w:rPr>
          <w:rFonts w:hint="eastAsia" w:ascii="宋体" w:hAnsi="宋体"/>
          <w:b w:val="0"/>
          <w:sz w:val="24"/>
          <w:szCs w:val="24"/>
          <w:lang w:val="en-US" w:eastAsia="zh-CN"/>
        </w:rPr>
        <w:t>本合同签订前，乙方</w:t>
      </w:r>
      <w:r>
        <w:rPr>
          <w:rFonts w:hint="default" w:ascii="宋体" w:hAnsi="宋体"/>
          <w:b w:val="0"/>
          <w:sz w:val="24"/>
          <w:szCs w:val="24"/>
          <w:lang w:val="en-US" w:eastAsia="zh-CN"/>
        </w:rPr>
        <w:t>须以</w:t>
      </w:r>
      <w:r>
        <w:rPr>
          <w:rFonts w:hint="eastAsia" w:ascii="宋体" w:hAnsi="宋体"/>
          <w:b w:val="0"/>
          <w:sz w:val="24"/>
          <w:szCs w:val="24"/>
          <w:lang w:val="en-US" w:eastAsia="zh-CN"/>
        </w:rPr>
        <w:t>【转账、</w:t>
      </w:r>
      <w:r>
        <w:rPr>
          <w:rFonts w:hint="default" w:ascii="宋体" w:hAnsi="宋体"/>
          <w:b w:val="0"/>
          <w:sz w:val="24"/>
          <w:szCs w:val="24"/>
          <w:lang w:val="en-US" w:eastAsia="zh-CN"/>
        </w:rPr>
        <w:t>支票、汇票、本票、保函等</w:t>
      </w:r>
      <w:r>
        <w:rPr>
          <w:rFonts w:hint="eastAsia" w:ascii="宋体" w:hAnsi="宋体"/>
          <w:b w:val="0"/>
          <w:sz w:val="24"/>
          <w:szCs w:val="24"/>
          <w:lang w:val="en-US" w:eastAsia="zh-CN"/>
        </w:rPr>
        <w:t>】</w:t>
      </w:r>
      <w:r>
        <w:rPr>
          <w:rFonts w:hint="default" w:ascii="宋体" w:hAnsi="宋体"/>
          <w:b w:val="0"/>
          <w:sz w:val="24"/>
          <w:szCs w:val="24"/>
          <w:lang w:val="en-US" w:eastAsia="zh-CN"/>
        </w:rPr>
        <w:t>方式</w:t>
      </w:r>
      <w:r>
        <w:rPr>
          <w:rFonts w:hint="eastAsia" w:ascii="宋体" w:hAnsi="宋体"/>
          <w:b w:val="0"/>
          <w:sz w:val="24"/>
          <w:szCs w:val="24"/>
          <w:lang w:val="en-US" w:eastAsia="zh-CN"/>
        </w:rPr>
        <w:t>一次性</w:t>
      </w:r>
      <w:r>
        <w:rPr>
          <w:rFonts w:hint="default" w:ascii="宋体" w:hAnsi="宋体"/>
          <w:b w:val="0"/>
          <w:sz w:val="24"/>
          <w:szCs w:val="24"/>
          <w:lang w:val="en-US" w:eastAsia="zh-CN"/>
        </w:rPr>
        <w:t>向甲方支付</w:t>
      </w:r>
      <w:r>
        <w:rPr>
          <w:rFonts w:hint="eastAsia" w:ascii="宋体" w:hAnsi="宋体"/>
          <w:b w:val="0"/>
          <w:sz w:val="24"/>
          <w:szCs w:val="24"/>
          <w:lang w:val="en-US" w:eastAsia="zh-CN"/>
        </w:rPr>
        <w:t>【   万元】</w:t>
      </w:r>
      <w:r>
        <w:rPr>
          <w:rFonts w:hint="default" w:ascii="宋体" w:hAnsi="宋体"/>
          <w:b w:val="0"/>
          <w:sz w:val="24"/>
          <w:szCs w:val="24"/>
          <w:lang w:val="en-US" w:eastAsia="zh-CN"/>
        </w:rPr>
        <w:t>作为履约保证金。履约保证金的保证范围包括但不限于：合同约定的乙方违约责任、乙方给甲方或第三方造成的人身或财产损失或行政、刑事赔偿、罚款、罚金、滞纳金等。</w:t>
      </w:r>
    </w:p>
    <w:p w14:paraId="1C0169D7">
      <w:pPr>
        <w:numPr>
          <w:ilvl w:val="0"/>
          <w:numId w:val="0"/>
        </w:numPr>
        <w:adjustRightInd w:val="0"/>
        <w:snapToGrid w:val="0"/>
        <w:spacing w:line="360" w:lineRule="auto"/>
        <w:ind w:right="11" w:firstLine="484" w:firstLineChars="202"/>
        <w:rPr>
          <w:rFonts w:hint="default" w:ascii="宋体" w:hAnsi="宋体"/>
          <w:b w:val="0"/>
          <w:bCs w:val="0"/>
          <w:sz w:val="24"/>
          <w:szCs w:val="24"/>
          <w:highlight w:val="yellow"/>
          <w:lang w:val="en-US"/>
        </w:rPr>
      </w:pPr>
      <w:r>
        <w:rPr>
          <w:rFonts w:hint="eastAsia" w:ascii="宋体" w:hAnsi="宋体" w:eastAsia="宋体" w:cs="Times New Roman"/>
          <w:b w:val="0"/>
          <w:bCs w:val="0"/>
          <w:kern w:val="2"/>
          <w:sz w:val="24"/>
          <w:szCs w:val="24"/>
          <w:lang w:val="en-US" w:eastAsia="zh-CN" w:bidi="ar-SA"/>
        </w:rPr>
        <w:t>（二）</w:t>
      </w:r>
      <w:r>
        <w:rPr>
          <w:rFonts w:hint="default" w:ascii="宋体" w:hAnsi="宋体"/>
          <w:b w:val="0"/>
          <w:sz w:val="24"/>
          <w:szCs w:val="24"/>
          <w:lang w:val="en-US" w:eastAsia="zh-CN"/>
        </w:rPr>
        <w:t>履约保证金的使用及退还</w:t>
      </w:r>
      <w:r>
        <w:rPr>
          <w:rFonts w:hint="eastAsia" w:ascii="宋体" w:hAnsi="宋体"/>
          <w:b w:val="0"/>
          <w:sz w:val="24"/>
          <w:szCs w:val="24"/>
          <w:lang w:val="en-US" w:eastAsia="zh-CN"/>
        </w:rPr>
        <w:t>：</w:t>
      </w:r>
      <w:r>
        <w:rPr>
          <w:rFonts w:hint="default" w:ascii="宋体" w:hAnsi="宋体"/>
          <w:b w:val="0"/>
          <w:bCs w:val="0"/>
          <w:sz w:val="24"/>
          <w:szCs w:val="24"/>
          <w:lang w:val="en-US" w:eastAsia="zh-CN"/>
        </w:rPr>
        <w:t>乙方出现本合同约定情形（包括但不限于</w:t>
      </w:r>
      <w:r>
        <w:rPr>
          <w:rFonts w:hint="eastAsia" w:ascii="宋体" w:hAnsi="宋体"/>
          <w:b w:val="0"/>
          <w:bCs w:val="0"/>
          <w:sz w:val="24"/>
          <w:szCs w:val="24"/>
          <w:lang w:val="en-US" w:eastAsia="zh-CN"/>
        </w:rPr>
        <w:t>产生扣款、</w:t>
      </w:r>
      <w:r>
        <w:rPr>
          <w:rFonts w:hint="default" w:ascii="宋体" w:hAnsi="宋体"/>
          <w:b w:val="0"/>
          <w:bCs w:val="0"/>
          <w:sz w:val="24"/>
          <w:szCs w:val="24"/>
          <w:lang w:val="en-US" w:eastAsia="zh-CN"/>
        </w:rPr>
        <w:t>出现违约行为</w:t>
      </w:r>
      <w:r>
        <w:rPr>
          <w:rFonts w:hint="eastAsia" w:ascii="宋体" w:hAnsi="宋体"/>
          <w:b w:val="0"/>
          <w:bCs w:val="0"/>
          <w:sz w:val="24"/>
          <w:szCs w:val="24"/>
          <w:lang w:val="en-US" w:eastAsia="zh-CN"/>
        </w:rPr>
        <w:t>或</w:t>
      </w:r>
      <w:r>
        <w:rPr>
          <w:rFonts w:hint="default" w:ascii="宋体" w:hAnsi="宋体"/>
          <w:b w:val="0"/>
          <w:bCs w:val="0"/>
          <w:sz w:val="24"/>
          <w:szCs w:val="24"/>
          <w:lang w:val="en-US" w:eastAsia="zh-CN"/>
        </w:rPr>
        <w:t>甲方垫付款项</w:t>
      </w:r>
      <w:r>
        <w:rPr>
          <w:rFonts w:hint="eastAsia" w:ascii="宋体" w:hAnsi="宋体"/>
          <w:b w:val="0"/>
          <w:bCs w:val="0"/>
          <w:sz w:val="24"/>
          <w:szCs w:val="24"/>
          <w:lang w:val="en-US" w:eastAsia="zh-CN"/>
        </w:rPr>
        <w:t>等），</w:t>
      </w:r>
      <w:r>
        <w:rPr>
          <w:rFonts w:hint="default" w:ascii="宋体" w:hAnsi="宋体"/>
          <w:b w:val="0"/>
          <w:bCs w:val="0"/>
          <w:sz w:val="24"/>
          <w:szCs w:val="24"/>
          <w:lang w:val="en-US" w:eastAsia="zh-CN"/>
        </w:rPr>
        <w:t>应当承担</w:t>
      </w:r>
      <w:r>
        <w:rPr>
          <w:rFonts w:hint="eastAsia" w:ascii="宋体" w:hAnsi="宋体"/>
          <w:b w:val="0"/>
          <w:bCs w:val="0"/>
          <w:sz w:val="24"/>
          <w:szCs w:val="24"/>
          <w:lang w:val="en-US" w:eastAsia="zh-CN"/>
        </w:rPr>
        <w:t>甲方</w:t>
      </w:r>
      <w:r>
        <w:rPr>
          <w:rFonts w:hint="default" w:ascii="宋体" w:hAnsi="宋体"/>
          <w:b w:val="0"/>
          <w:bCs w:val="0"/>
          <w:sz w:val="24"/>
          <w:szCs w:val="24"/>
          <w:lang w:val="en-US" w:eastAsia="zh-CN"/>
        </w:rPr>
        <w:t>产生</w:t>
      </w:r>
      <w:r>
        <w:rPr>
          <w:rFonts w:hint="eastAsia" w:ascii="宋体" w:hAnsi="宋体"/>
          <w:b w:val="0"/>
          <w:bCs w:val="0"/>
          <w:sz w:val="24"/>
          <w:szCs w:val="24"/>
          <w:lang w:val="en-US" w:eastAsia="zh-CN"/>
        </w:rPr>
        <w:t>的</w:t>
      </w:r>
      <w:r>
        <w:rPr>
          <w:rFonts w:hint="default" w:ascii="宋体" w:hAnsi="宋体"/>
          <w:b w:val="0"/>
          <w:bCs w:val="0"/>
          <w:sz w:val="24"/>
          <w:szCs w:val="24"/>
          <w:lang w:val="en-US" w:eastAsia="zh-CN"/>
        </w:rPr>
        <w:t>维权费用及其他一切</w:t>
      </w:r>
      <w:r>
        <w:rPr>
          <w:rFonts w:hint="eastAsia" w:ascii="宋体" w:hAnsi="宋体"/>
          <w:b w:val="0"/>
          <w:bCs w:val="0"/>
          <w:sz w:val="24"/>
          <w:szCs w:val="24"/>
          <w:lang w:val="en-US" w:eastAsia="zh-CN"/>
        </w:rPr>
        <w:t>损失（损失包括但不限于劳动赔付损失、民事赔付损失、行政处罚损失、诉讼费、律师费、保全费、担保费、鉴定费、差旅费等）</w:t>
      </w:r>
      <w:r>
        <w:rPr>
          <w:rFonts w:hint="default" w:ascii="宋体" w:hAnsi="宋体"/>
          <w:b w:val="0"/>
          <w:bCs w:val="0"/>
          <w:sz w:val="24"/>
          <w:szCs w:val="24"/>
          <w:lang w:val="en-US" w:eastAsia="zh-CN"/>
        </w:rPr>
        <w:t>，甲方向乙方发出书面通知后，有权从</w:t>
      </w:r>
      <w:r>
        <w:rPr>
          <w:rFonts w:hint="eastAsia" w:ascii="宋体" w:hAnsi="宋体"/>
          <w:b w:val="0"/>
          <w:bCs w:val="0"/>
          <w:sz w:val="24"/>
          <w:szCs w:val="24"/>
          <w:lang w:val="en-US" w:eastAsia="zh-CN"/>
        </w:rPr>
        <w:t>履约保证金或任意一笔</w:t>
      </w:r>
      <w:r>
        <w:rPr>
          <w:rFonts w:hint="default" w:ascii="宋体" w:hAnsi="宋体"/>
          <w:b w:val="0"/>
          <w:sz w:val="24"/>
          <w:szCs w:val="24"/>
        </w:rPr>
        <w:t>待支付款项中直接扣除</w:t>
      </w:r>
      <w:r>
        <w:rPr>
          <w:rFonts w:hint="eastAsia" w:ascii="宋体" w:hAnsi="宋体"/>
          <w:b w:val="0"/>
          <w:bCs w:val="0"/>
          <w:sz w:val="24"/>
          <w:szCs w:val="24"/>
          <w:lang w:val="en-US" w:eastAsia="zh-CN"/>
        </w:rPr>
        <w:t>相关</w:t>
      </w:r>
      <w:r>
        <w:rPr>
          <w:rFonts w:hint="default" w:ascii="宋体" w:hAnsi="宋体"/>
          <w:b w:val="0"/>
          <w:bCs w:val="0"/>
          <w:sz w:val="24"/>
          <w:szCs w:val="24"/>
          <w:lang w:val="en-US" w:eastAsia="zh-CN"/>
        </w:rPr>
        <w:t>违约金、赔偿金。履约保证金产生扣减</w:t>
      </w:r>
      <w:r>
        <w:rPr>
          <w:rFonts w:hint="eastAsia" w:ascii="宋体" w:hAnsi="宋体"/>
          <w:b w:val="0"/>
          <w:bCs w:val="0"/>
          <w:sz w:val="24"/>
          <w:szCs w:val="24"/>
          <w:lang w:val="en-US" w:eastAsia="zh-CN"/>
        </w:rPr>
        <w:t>的</w:t>
      </w:r>
      <w:r>
        <w:rPr>
          <w:rFonts w:hint="default" w:ascii="宋体" w:hAnsi="宋体"/>
          <w:b w:val="0"/>
          <w:bCs w:val="0"/>
          <w:sz w:val="24"/>
          <w:szCs w:val="24"/>
          <w:lang w:val="en-US" w:eastAsia="zh-CN"/>
        </w:rPr>
        <w:t>，则乙方应在【 10 】个工作日内补足；若未能按时补齐的，每逾期一天，乙方须向甲方支付履约保证金不足部分的【 5% 】作为违约金。乙方超过【 30日 】仍未能补齐履约保证金的，甲方有权解除合同而无须承担任何责任，同时有权要求乙方按合同总金额的【</w:t>
      </w:r>
      <w:r>
        <w:rPr>
          <w:rFonts w:hint="eastAsia" w:ascii="宋体" w:hAnsi="宋体"/>
          <w:b w:val="0"/>
          <w:bCs w:val="0"/>
          <w:sz w:val="24"/>
          <w:szCs w:val="24"/>
          <w:lang w:val="en-US" w:eastAsia="zh-CN"/>
        </w:rPr>
        <w:t>2</w:t>
      </w:r>
      <w:r>
        <w:rPr>
          <w:rFonts w:hint="default" w:ascii="宋体" w:hAnsi="宋体"/>
          <w:b w:val="0"/>
          <w:bCs w:val="0"/>
          <w:sz w:val="24"/>
          <w:szCs w:val="24"/>
          <w:lang w:val="en-US" w:eastAsia="zh-CN"/>
        </w:rPr>
        <w:t>0】%支付违约金。</w:t>
      </w:r>
    </w:p>
    <w:p w14:paraId="05600BCF">
      <w:pPr>
        <w:numPr>
          <w:ilvl w:val="0"/>
          <w:numId w:val="0"/>
        </w:numPr>
        <w:adjustRightInd w:val="0"/>
        <w:snapToGrid w:val="0"/>
        <w:spacing w:line="360" w:lineRule="auto"/>
        <w:ind w:right="11" w:firstLine="484" w:firstLineChars="202"/>
        <w:rPr>
          <w:rFonts w:hint="eastAsia"/>
          <w:lang w:val="en-US" w:eastAsia="zh-CN"/>
        </w:rPr>
      </w:pPr>
      <w:r>
        <w:rPr>
          <w:rFonts w:hint="eastAsia" w:ascii="宋体" w:hAnsi="宋体" w:eastAsia="宋体" w:cs="Times New Roman"/>
          <w:kern w:val="2"/>
          <w:sz w:val="24"/>
          <w:szCs w:val="24"/>
          <w:lang w:val="en-US" w:eastAsia="zh-CN" w:bidi="ar-SA"/>
        </w:rPr>
        <w:t>（三）</w:t>
      </w:r>
      <w:r>
        <w:rPr>
          <w:rFonts w:hint="default" w:ascii="宋体" w:hAnsi="宋体"/>
          <w:b w:val="0"/>
          <w:sz w:val="24"/>
          <w:szCs w:val="24"/>
          <w:lang w:val="en-US" w:eastAsia="zh-CN"/>
        </w:rPr>
        <w:t>合同期满后</w:t>
      </w:r>
      <w:r>
        <w:rPr>
          <w:rFonts w:hint="eastAsia" w:ascii="宋体" w:hAnsi="宋体"/>
          <w:b w:val="0"/>
          <w:sz w:val="24"/>
          <w:szCs w:val="24"/>
          <w:lang w:val="en-US" w:eastAsia="zh-CN"/>
        </w:rPr>
        <w:t>，</w:t>
      </w:r>
      <w:r>
        <w:rPr>
          <w:rFonts w:hint="default" w:ascii="宋体" w:hAnsi="宋体"/>
          <w:b w:val="0"/>
          <w:sz w:val="24"/>
          <w:szCs w:val="24"/>
          <w:lang w:val="en-US" w:eastAsia="zh-CN"/>
        </w:rPr>
        <w:t>如乙方无违约情况</w:t>
      </w:r>
      <w:r>
        <w:rPr>
          <w:rFonts w:hint="eastAsia" w:ascii="宋体" w:hAnsi="宋体"/>
          <w:b w:val="0"/>
          <w:sz w:val="24"/>
          <w:szCs w:val="24"/>
          <w:lang w:val="en-US" w:eastAsia="zh-CN"/>
        </w:rPr>
        <w:t>且已按约定完成交接的</w:t>
      </w:r>
      <w:r>
        <w:rPr>
          <w:rFonts w:hint="default" w:ascii="宋体" w:hAnsi="宋体"/>
          <w:b w:val="0"/>
          <w:sz w:val="24"/>
          <w:szCs w:val="24"/>
          <w:lang w:val="en-US" w:eastAsia="zh-CN"/>
        </w:rPr>
        <w:t>，乙方应当在本合同约定的义务履行完毕之日起凭履约保证金收款收据原件向甲方提交退款申请，甲方核实无误并确认合同履行完毕后</w:t>
      </w:r>
      <w:r>
        <w:rPr>
          <w:rFonts w:hint="eastAsia" w:ascii="宋体" w:hAnsi="宋体"/>
          <w:b w:val="0"/>
          <w:sz w:val="24"/>
          <w:szCs w:val="24"/>
          <w:lang w:val="en-US" w:eastAsia="zh-CN"/>
        </w:rPr>
        <w:t>，于交接手续办理完毕且乙方撤出项目现场之日起【 60个工作日 】</w:t>
      </w:r>
      <w:r>
        <w:rPr>
          <w:rFonts w:hint="default" w:ascii="宋体" w:hAnsi="宋体"/>
          <w:b w:val="0"/>
          <w:sz w:val="24"/>
          <w:szCs w:val="24"/>
          <w:lang w:val="en-US" w:eastAsia="zh-CN"/>
        </w:rPr>
        <w:t>内</w:t>
      </w:r>
      <w:r>
        <w:rPr>
          <w:rFonts w:hint="eastAsia" w:ascii="宋体" w:hAnsi="宋体"/>
          <w:b w:val="0"/>
          <w:sz w:val="24"/>
          <w:szCs w:val="24"/>
          <w:lang w:val="en-US" w:eastAsia="zh-CN"/>
        </w:rPr>
        <w:t>将扣减乙方违约金、赔偿金等费用后剩余的履约保证金</w:t>
      </w:r>
      <w:r>
        <w:rPr>
          <w:rFonts w:hint="default" w:ascii="宋体" w:hAnsi="宋体"/>
          <w:b w:val="0"/>
          <w:sz w:val="24"/>
          <w:szCs w:val="24"/>
          <w:lang w:val="en-US" w:eastAsia="zh-CN"/>
        </w:rPr>
        <w:t>无息退还乙方。</w:t>
      </w:r>
    </w:p>
    <w:p w14:paraId="16C8351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八</w:t>
      </w:r>
      <w:r>
        <w:rPr>
          <w:rFonts w:hint="eastAsia" w:ascii="宋体" w:hAnsi="宋体" w:eastAsia="宋体" w:cs="宋体"/>
          <w:b/>
          <w:bCs/>
          <w:color w:val="auto"/>
          <w:sz w:val="24"/>
          <w:szCs w:val="24"/>
          <w:highlight w:val="none"/>
          <w:lang w:val="en-US" w:eastAsia="zh-CN"/>
        </w:rPr>
        <w:t>、违约责任</w:t>
      </w:r>
    </w:p>
    <w:p w14:paraId="197955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（一）甲方违约责任</w:t>
      </w:r>
    </w:p>
    <w:p w14:paraId="7E4C93A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9"/>
        <w:rPr>
          <w:rFonts w:hint="eastAsia" w:ascii="宋体" w:hAnsi="宋体" w:eastAsia="宋体" w:cs="宋体"/>
          <w:b/>
          <w:bCs/>
          <w:color w:val="auto"/>
          <w:sz w:val="24"/>
          <w:szCs w:val="24"/>
          <w:highlight w:val="none"/>
          <w:u w:val="single"/>
          <w:lang w:val="en-US" w:eastAsia="zh-CN"/>
        </w:rPr>
      </w:pPr>
      <w:r>
        <w:rPr>
          <w:rFonts w:hint="eastAsia" w:ascii="宋体" w:hAnsi="宋体" w:cs="宋体"/>
          <w:b/>
          <w:bCs/>
          <w:color w:val="auto"/>
          <w:sz w:val="24"/>
          <w:szCs w:val="24"/>
          <w:highlight w:val="none"/>
          <w:u w:val="single"/>
          <w:lang w:val="en-US" w:eastAsia="zh-CN"/>
        </w:rPr>
        <w:t>1</w:t>
      </w:r>
      <w:r>
        <w:rPr>
          <w:rFonts w:hint="eastAsia" w:ascii="宋体" w:hAnsi="宋体" w:eastAsia="宋体" w:cs="宋体"/>
          <w:b/>
          <w:bCs/>
          <w:color w:val="auto"/>
          <w:sz w:val="24"/>
          <w:szCs w:val="24"/>
          <w:highlight w:val="none"/>
          <w:u w:val="single"/>
          <w:lang w:val="en-US" w:eastAsia="zh-CN"/>
        </w:rPr>
        <w:t>.如甲方不再为本项目提供物业服务，则甲方退出本项目之日为本合同终止之日，</w:t>
      </w:r>
      <w:r>
        <w:rPr>
          <w:rFonts w:hint="eastAsia" w:ascii="宋体" w:hAnsi="宋体" w:cs="宋体"/>
          <w:b/>
          <w:bCs/>
          <w:color w:val="auto"/>
          <w:sz w:val="24"/>
          <w:szCs w:val="24"/>
          <w:highlight w:val="none"/>
          <w:u w:val="single"/>
          <w:lang w:val="en-US" w:eastAsia="zh-CN"/>
        </w:rPr>
        <w:t>维保</w:t>
      </w:r>
      <w:r>
        <w:rPr>
          <w:rFonts w:hint="eastAsia" w:ascii="宋体" w:hAnsi="宋体" w:eastAsia="宋体" w:cs="宋体"/>
          <w:b/>
          <w:bCs/>
          <w:color w:val="auto"/>
          <w:sz w:val="24"/>
          <w:szCs w:val="24"/>
          <w:highlight w:val="none"/>
          <w:u w:val="single"/>
          <w:lang w:val="en-US" w:eastAsia="zh-CN"/>
        </w:rPr>
        <w:t>费用按实际服务时长结算，不足一个月的，按日计费。甲方无需向乙方承担任何责任</w:t>
      </w:r>
      <w:r>
        <w:rPr>
          <w:rFonts w:hint="eastAsia" w:ascii="宋体" w:hAnsi="宋体" w:cs="宋体"/>
          <w:b/>
          <w:bCs/>
          <w:color w:val="auto"/>
          <w:sz w:val="24"/>
          <w:szCs w:val="24"/>
          <w:highlight w:val="none"/>
          <w:u w:val="single"/>
          <w:lang w:val="en-US" w:eastAsia="zh-CN"/>
        </w:rPr>
        <w:t>，乙方没有异议</w:t>
      </w:r>
      <w:r>
        <w:rPr>
          <w:rFonts w:hint="eastAsia" w:ascii="宋体" w:hAnsi="宋体" w:eastAsia="宋体" w:cs="宋体"/>
          <w:b/>
          <w:bCs/>
          <w:color w:val="auto"/>
          <w:sz w:val="24"/>
          <w:szCs w:val="24"/>
          <w:highlight w:val="none"/>
          <w:u w:val="single"/>
          <w:lang w:val="en-US" w:eastAsia="zh-CN"/>
        </w:rPr>
        <w:t>。</w:t>
      </w:r>
    </w:p>
    <w:p w14:paraId="11A5A36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（二）乙方违约责任</w:t>
      </w:r>
    </w:p>
    <w:p w14:paraId="12C677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乙方未按规定和本合同履行职责、义务，造成甲方或者第三方遭受人身伤害和经济损失的，乙方应当承担因此发生的赔偿责任。如甲方因此遭受任何损失的，乙方应予以赔偿，甲方可直接从履约保证金或应向乙方支付的任意一笔维保费用中扣减乙方应承担的赔偿金。</w:t>
      </w:r>
    </w:p>
    <w:p w14:paraId="5962F7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2.乙方不能按本合同约定的内容提供服务，连续【一个月】以上时间未进行维保的，甲方有权通知乙方终止合同，剩余维保费用不再支付；在合同终止前，发生的事故</w:t>
      </w:r>
      <w:r>
        <w:rPr>
          <w:rFonts w:hint="eastAsia" w:ascii="宋体" w:hAnsi="宋体" w:cs="宋体"/>
          <w:b w:val="0"/>
          <w:bCs w:val="0"/>
          <w:color w:val="auto"/>
          <w:sz w:val="24"/>
          <w:szCs w:val="24"/>
          <w:highlight w:val="none"/>
          <w:lang w:val="en-US" w:eastAsia="zh-CN"/>
        </w:rPr>
        <w:t>、事件等全部</w:t>
      </w:r>
      <w:r>
        <w:rPr>
          <w:rFonts w:hint="eastAsia" w:ascii="宋体" w:hAnsi="宋体" w:eastAsia="宋体" w:cs="宋体"/>
          <w:b w:val="0"/>
          <w:bCs w:val="0"/>
          <w:color w:val="auto"/>
          <w:sz w:val="24"/>
          <w:szCs w:val="24"/>
          <w:highlight w:val="none"/>
          <w:lang w:val="en-US" w:eastAsia="zh-CN"/>
        </w:rPr>
        <w:t>责任由乙方承担。</w:t>
      </w:r>
    </w:p>
    <w:p w14:paraId="68807E2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3.因乙方工作失职导致政府部门或上级单位对甲方进行通报批评或处罚的，或导致媒体负面报道的，视造成的影响，乙方每次应当承担【不低于</w:t>
      </w:r>
      <w:r>
        <w:rPr>
          <w:rFonts w:hint="eastAsia" w:ascii="宋体" w:hAnsi="宋体" w:cs="宋体"/>
          <w:b w:val="0"/>
          <w:bCs w:val="0"/>
          <w:color w:val="auto"/>
          <w:sz w:val="24"/>
          <w:szCs w:val="24"/>
          <w:highlight w:val="none"/>
          <w:lang w:val="en-US" w:eastAsia="zh-CN"/>
        </w:rPr>
        <w:t>季</w:t>
      </w:r>
      <w:r>
        <w:rPr>
          <w:rFonts w:hint="eastAsia" w:ascii="宋体" w:hAnsi="宋体" w:eastAsia="宋体" w:cs="宋体"/>
          <w:b w:val="0"/>
          <w:bCs w:val="0"/>
          <w:color w:val="auto"/>
          <w:sz w:val="24"/>
          <w:szCs w:val="24"/>
          <w:highlight w:val="none"/>
          <w:lang w:val="en-US" w:eastAsia="zh-CN"/>
        </w:rPr>
        <w:t>度维保费用5%】的违约金；给甲方造成重大负面影响的，甲方有权单方面解除合同并要求乙方承担一切经济损失</w:t>
      </w:r>
      <w:r>
        <w:rPr>
          <w:rFonts w:hint="eastAsia" w:ascii="宋体" w:hAnsi="宋体" w:cs="宋体"/>
          <w:b w:val="0"/>
          <w:bCs w:val="0"/>
          <w:color w:val="auto"/>
          <w:sz w:val="24"/>
          <w:szCs w:val="24"/>
          <w:highlight w:val="none"/>
          <w:lang w:val="en-US" w:eastAsia="zh-CN"/>
        </w:rPr>
        <w:t>，影响的标准由甲方确定，乙方没有异议</w:t>
      </w:r>
      <w:r>
        <w:rPr>
          <w:rFonts w:hint="eastAsia" w:ascii="宋体" w:hAnsi="宋体" w:eastAsia="宋体" w:cs="宋体"/>
          <w:b w:val="0"/>
          <w:bCs w:val="0"/>
          <w:color w:val="auto"/>
          <w:sz w:val="24"/>
          <w:szCs w:val="24"/>
          <w:highlight w:val="none"/>
          <w:lang w:val="en-US" w:eastAsia="zh-CN"/>
        </w:rPr>
        <w:t>。</w:t>
      </w:r>
    </w:p>
    <w:p w14:paraId="2EB81B2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4.因乙方在维保过程中发生的生产安全事故或</w:t>
      </w:r>
      <w:r>
        <w:rPr>
          <w:rFonts w:hint="eastAsia" w:ascii="宋体" w:hAnsi="宋体" w:cs="宋体"/>
          <w:b w:val="0"/>
          <w:bCs w:val="0"/>
          <w:color w:val="auto"/>
          <w:sz w:val="24"/>
          <w:szCs w:val="24"/>
          <w:highlight w:val="none"/>
          <w:lang w:val="en-US" w:eastAsia="zh-CN"/>
        </w:rPr>
        <w:t>造成甲方、乙方或第三方等</w:t>
      </w:r>
      <w:r>
        <w:rPr>
          <w:rFonts w:hint="eastAsia" w:ascii="宋体" w:hAnsi="宋体" w:eastAsia="宋体" w:cs="宋体"/>
          <w:b w:val="0"/>
          <w:bCs w:val="0"/>
          <w:color w:val="auto"/>
          <w:sz w:val="24"/>
          <w:szCs w:val="24"/>
          <w:highlight w:val="none"/>
          <w:lang w:val="en-US" w:eastAsia="zh-CN"/>
        </w:rPr>
        <w:t>意外伤亡事件由乙方负责，甲方视情节轻重有权解除合同，并由乙方承担一切经济损失和合同总金额【</w:t>
      </w:r>
      <w:r>
        <w:rPr>
          <w:rFonts w:hint="eastAsia" w:ascii="宋体" w:hAnsi="宋体" w:eastAsia="宋体" w:cs="宋体"/>
          <w:b w:val="0"/>
          <w:bCs w:val="0"/>
          <w:color w:val="auto"/>
          <w:sz w:val="24"/>
          <w:szCs w:val="24"/>
          <w:highlight w:val="none"/>
          <w:u w:val="none"/>
          <w:lang w:val="en-US" w:eastAsia="zh-CN"/>
        </w:rPr>
        <w:t xml:space="preserve"> 20 </w:t>
      </w:r>
      <w:r>
        <w:rPr>
          <w:rFonts w:hint="eastAsia" w:ascii="宋体" w:hAnsi="宋体" w:eastAsia="宋体" w:cs="宋体"/>
          <w:b w:val="0"/>
          <w:bCs w:val="0"/>
          <w:color w:val="auto"/>
          <w:sz w:val="24"/>
          <w:szCs w:val="24"/>
          <w:highlight w:val="none"/>
          <w:lang w:val="en-US" w:eastAsia="zh-CN"/>
        </w:rPr>
        <w:t>】%的违约金</w:t>
      </w:r>
      <w:r>
        <w:rPr>
          <w:rFonts w:hint="eastAsia" w:ascii="宋体" w:hAnsi="宋体" w:cs="宋体"/>
          <w:b w:val="0"/>
          <w:bCs w:val="0"/>
          <w:color w:val="auto"/>
          <w:sz w:val="24"/>
          <w:szCs w:val="24"/>
          <w:highlight w:val="none"/>
          <w:lang w:val="en-US" w:eastAsia="zh-CN"/>
        </w:rPr>
        <w:t>，乙方没有异议</w:t>
      </w:r>
      <w:r>
        <w:rPr>
          <w:rFonts w:hint="eastAsia" w:ascii="宋体" w:hAnsi="宋体" w:eastAsia="宋体" w:cs="宋体"/>
          <w:b w:val="0"/>
          <w:bCs w:val="0"/>
          <w:color w:val="auto"/>
          <w:sz w:val="24"/>
          <w:szCs w:val="24"/>
          <w:highlight w:val="none"/>
          <w:lang w:val="en-US" w:eastAsia="zh-CN"/>
        </w:rPr>
        <w:t>。</w:t>
      </w:r>
    </w:p>
    <w:p w14:paraId="709B0A9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5.发生火灾，经政府部门认定乙方未按合同履职导致火灾事故扩大的，甲方有权解除合同，乙方应当退还已经收取的年度维保费用并承担一切经济损失和合同总金额【</w:t>
      </w:r>
      <w:r>
        <w:rPr>
          <w:rFonts w:hint="eastAsia" w:ascii="宋体" w:hAnsi="宋体" w:eastAsia="宋体" w:cs="宋体"/>
          <w:b w:val="0"/>
          <w:bCs w:val="0"/>
          <w:color w:val="auto"/>
          <w:sz w:val="24"/>
          <w:szCs w:val="24"/>
          <w:highlight w:val="none"/>
          <w:u w:val="none"/>
          <w:lang w:val="en-US" w:eastAsia="zh-CN"/>
        </w:rPr>
        <w:t xml:space="preserve"> 20 】%</w:t>
      </w:r>
      <w:r>
        <w:rPr>
          <w:rFonts w:hint="eastAsia" w:ascii="宋体" w:hAnsi="宋体" w:eastAsia="宋体" w:cs="宋体"/>
          <w:b w:val="0"/>
          <w:bCs w:val="0"/>
          <w:color w:val="auto"/>
          <w:sz w:val="24"/>
          <w:szCs w:val="24"/>
          <w:highlight w:val="none"/>
          <w:lang w:val="en-US" w:eastAsia="zh-CN"/>
        </w:rPr>
        <w:t>的违约金。</w:t>
      </w:r>
    </w:p>
    <w:p w14:paraId="7DC307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乙方未及时向甲方开具并送达合法、有效、完整、准确的发票，且未在甲方催告期限内采取有效补救措施的，甲方有权迟延支付相应款项而不承担任何责任；若因乙方原因导致甲方不能抵扣税款的，甲方有权按照合同不含税价格进行结算。</w:t>
      </w:r>
    </w:p>
    <w:p w14:paraId="26961A2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9"/>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u w:val="single"/>
          <w:lang w:val="en-US" w:eastAsia="zh-CN"/>
        </w:rPr>
        <w:t>7.乙方存在以下违约行为之一的，视造成的影响，应当承担违约金￥</w:t>
      </w:r>
      <w:r>
        <w:rPr>
          <w:rFonts w:hint="eastAsia" w:ascii="宋体" w:hAnsi="宋体" w:eastAsia="宋体" w:cs="宋体"/>
          <w:b/>
          <w:bCs/>
          <w:i w:val="0"/>
          <w:iCs w:val="0"/>
          <w:color w:val="auto"/>
          <w:sz w:val="24"/>
          <w:szCs w:val="24"/>
          <w:highlight w:val="none"/>
          <w:u w:val="single"/>
          <w:lang w:val="en-US" w:eastAsia="zh-CN"/>
        </w:rPr>
        <w:t>【200-500】</w:t>
      </w:r>
      <w:r>
        <w:rPr>
          <w:rFonts w:hint="eastAsia" w:ascii="宋体" w:hAnsi="宋体" w:eastAsia="宋体" w:cs="宋体"/>
          <w:b/>
          <w:bCs/>
          <w:color w:val="auto"/>
          <w:sz w:val="24"/>
          <w:szCs w:val="24"/>
          <w:highlight w:val="none"/>
          <w:u w:val="single"/>
          <w:lang w:val="en-US" w:eastAsia="zh-CN"/>
        </w:rPr>
        <w:t>元/次</w:t>
      </w:r>
      <w:r>
        <w:rPr>
          <w:rFonts w:hint="eastAsia" w:ascii="宋体" w:hAnsi="宋体" w:cs="宋体"/>
          <w:b/>
          <w:bCs/>
          <w:color w:val="auto"/>
          <w:sz w:val="24"/>
          <w:szCs w:val="24"/>
          <w:highlight w:val="none"/>
          <w:u w:val="single"/>
          <w:lang w:val="en-US" w:eastAsia="zh-CN"/>
        </w:rPr>
        <w:t>，具体违约金标准由甲方确定，</w:t>
      </w:r>
      <w:r>
        <w:rPr>
          <w:rFonts w:hint="eastAsia" w:ascii="宋体" w:hAnsi="宋体" w:cs="宋体"/>
          <w:b/>
          <w:bCs/>
          <w:color w:val="auto"/>
          <w:sz w:val="24"/>
          <w:szCs w:val="24"/>
          <w:highlight w:val="none"/>
          <w:lang w:val="en-US" w:eastAsia="zh-CN"/>
        </w:rPr>
        <w:t>乙方没有异议</w:t>
      </w:r>
      <w:r>
        <w:rPr>
          <w:rFonts w:hint="eastAsia" w:ascii="宋体" w:hAnsi="宋体" w:eastAsia="宋体" w:cs="宋体"/>
          <w:b/>
          <w:bCs/>
          <w:color w:val="auto"/>
          <w:sz w:val="24"/>
          <w:szCs w:val="24"/>
          <w:highlight w:val="none"/>
          <w:u w:val="single"/>
          <w:lang w:val="en-US" w:eastAsia="zh-CN"/>
        </w:rPr>
        <w:t>。</w:t>
      </w:r>
    </w:p>
    <w:p w14:paraId="1F58AEE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（1）未按照维保计划时间组织实施或维保质量不符合要求的。</w:t>
      </w:r>
    </w:p>
    <w:p w14:paraId="71DD30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（2）未按照本合同约定履行日常服务义务的，如参加会议、检查、培训和演练等。</w:t>
      </w:r>
    </w:p>
    <w:p w14:paraId="3066E90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（3）未按照本合同故障维修约定时间到达现场进行维修的。</w:t>
      </w:r>
    </w:p>
    <w:p w14:paraId="1C02DF8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（4）服务记录未及时提交甲方审核或者政府备案的。</w:t>
      </w:r>
    </w:p>
    <w:p w14:paraId="00B44C4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（5）未经甲方</w:t>
      </w:r>
      <w:r>
        <w:rPr>
          <w:rFonts w:hint="eastAsia" w:ascii="宋体" w:hAnsi="宋体" w:cs="宋体"/>
          <w:b w:val="0"/>
          <w:bCs w:val="0"/>
          <w:color w:val="auto"/>
          <w:sz w:val="24"/>
          <w:szCs w:val="24"/>
          <w:highlight w:val="none"/>
          <w:lang w:val="en-US" w:eastAsia="zh-CN"/>
        </w:rPr>
        <w:t>书面</w:t>
      </w:r>
      <w:r>
        <w:rPr>
          <w:rFonts w:hint="eastAsia" w:ascii="宋体" w:hAnsi="宋体" w:eastAsia="宋体" w:cs="宋体"/>
          <w:b w:val="0"/>
          <w:bCs w:val="0"/>
          <w:color w:val="auto"/>
          <w:sz w:val="24"/>
          <w:szCs w:val="24"/>
          <w:highlight w:val="none"/>
          <w:lang w:val="en-US" w:eastAsia="zh-CN"/>
        </w:rPr>
        <w:t>同意更换现场维修人员，或甲方要求更换现场维修人员乙方未更换的。</w:t>
      </w:r>
    </w:p>
    <w:p w14:paraId="32FA62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（6）不服从甲方管理、收到甲方书面警告、逾期未按甲方合理意见整改、拒绝执行甲方管理指令，或未按要求落实现场作业安全措施的。</w:t>
      </w:r>
    </w:p>
    <w:p w14:paraId="589BC5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（7）不积极配合甲方开展应急救援的（可加倍处罚）。</w:t>
      </w:r>
    </w:p>
    <w:p w14:paraId="01DBF7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（8）未落实维保责任，造成现场存在消防安全隐患的。</w:t>
      </w:r>
    </w:p>
    <w:p w14:paraId="582312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（9）年度内消防设施维保评价考核不合格等其他甲方认定的违约行为。</w:t>
      </w:r>
    </w:p>
    <w:p w14:paraId="16BA11B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9"/>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u w:val="single"/>
          <w:lang w:val="en-US" w:eastAsia="zh-CN"/>
        </w:rPr>
        <w:t>8.乙方发生如下情况之一，甲方可单方解除合同且无需承担任何责任，书面解除通知送达乙方之日起合同解除，甲方无需支付剩余费用；此外，甲方有权要求乙方按合同总金额的【20】%支付违约金，如不足以弥补甲方因此遭受的全部损失，乙方仍承担赔偿责任：</w:t>
      </w:r>
    </w:p>
    <w:p w14:paraId="2134CB1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（1）乙方未根据本合同约定或书面承诺向甲方开具、送达发票达3次及以上的。</w:t>
      </w:r>
    </w:p>
    <w:p w14:paraId="57DC7BA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（2）乙方因未妥善解决劳动争议或服务投诉，给甲方或甲方的客户造成重大负面影响的。</w:t>
      </w:r>
    </w:p>
    <w:p w14:paraId="788A2E6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（3）乙方年度内消防设施维保评价考核2次及以上不合格的。</w:t>
      </w:r>
    </w:p>
    <w:p w14:paraId="3B68A2D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（4）未经甲方书面同意，乙方擅自将本项目消防维保服务全部或部分分包、转包给第三人。</w:t>
      </w:r>
    </w:p>
    <w:p w14:paraId="1B9E9E1A">
      <w:pPr>
        <w:keepNext w:val="0"/>
        <w:keepLines w:val="0"/>
        <w:numPr>
          <w:ilvl w:val="0"/>
          <w:numId w:val="0"/>
        </w:numPr>
        <w:spacing w:line="360" w:lineRule="auto"/>
        <w:ind w:firstLine="480" w:firstLineChars="200"/>
        <w:jc w:val="left"/>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（5）乙方存在第</w:t>
      </w:r>
      <w:r>
        <w:rPr>
          <w:rFonts w:hint="eastAsia" w:ascii="宋体" w:hAnsi="宋体" w:cs="宋体"/>
          <w:b w:val="0"/>
          <w:bCs w:val="0"/>
          <w:color w:val="auto"/>
          <w:sz w:val="24"/>
          <w:szCs w:val="24"/>
          <w:highlight w:val="none"/>
          <w:lang w:val="en-US" w:eastAsia="zh-CN"/>
        </w:rPr>
        <w:t>八</w:t>
      </w:r>
      <w:r>
        <w:rPr>
          <w:rFonts w:hint="eastAsia" w:ascii="宋体" w:hAnsi="宋体" w:eastAsia="宋体" w:cs="宋体"/>
          <w:b w:val="0"/>
          <w:bCs w:val="0"/>
          <w:color w:val="auto"/>
          <w:sz w:val="24"/>
          <w:szCs w:val="24"/>
          <w:highlight w:val="none"/>
          <w:lang w:val="en-US" w:eastAsia="zh-CN"/>
        </w:rPr>
        <w:t>条</w:t>
      </w:r>
      <w:r>
        <w:rPr>
          <w:rFonts w:hint="eastAsia" w:ascii="宋体" w:hAnsi="宋体" w:cs="宋体"/>
          <w:b w:val="0"/>
          <w:bCs w:val="0"/>
          <w:color w:val="auto"/>
          <w:sz w:val="24"/>
          <w:szCs w:val="24"/>
          <w:highlight w:val="none"/>
          <w:lang w:val="en-US" w:eastAsia="zh-CN"/>
        </w:rPr>
        <w:t>第</w:t>
      </w:r>
      <w:r>
        <w:rPr>
          <w:rFonts w:hint="eastAsia" w:ascii="宋体" w:hAnsi="宋体" w:eastAsia="宋体" w:cs="宋体"/>
          <w:b w:val="0"/>
          <w:bCs w:val="0"/>
          <w:color w:val="auto"/>
          <w:sz w:val="24"/>
          <w:szCs w:val="24"/>
          <w:highlight w:val="none"/>
          <w:lang w:val="en-US" w:eastAsia="zh-CN"/>
        </w:rPr>
        <w:t>（二）</w:t>
      </w:r>
      <w:r>
        <w:rPr>
          <w:rFonts w:hint="eastAsia" w:ascii="宋体" w:hAnsi="宋体" w:cs="宋体"/>
          <w:b w:val="0"/>
          <w:bCs w:val="0"/>
          <w:color w:val="auto"/>
          <w:sz w:val="24"/>
          <w:szCs w:val="24"/>
          <w:highlight w:val="none"/>
          <w:lang w:val="en-US" w:eastAsia="zh-CN"/>
        </w:rPr>
        <w:t>款</w:t>
      </w:r>
      <w:r>
        <w:rPr>
          <w:rFonts w:hint="eastAsia" w:ascii="宋体" w:hAnsi="宋体" w:eastAsia="宋体" w:cs="宋体"/>
          <w:b w:val="0"/>
          <w:bCs w:val="0"/>
          <w:color w:val="auto"/>
          <w:sz w:val="24"/>
          <w:szCs w:val="24"/>
          <w:highlight w:val="none"/>
          <w:lang w:val="en-US" w:eastAsia="zh-CN"/>
        </w:rPr>
        <w:t>7</w:t>
      </w:r>
      <w:r>
        <w:rPr>
          <w:rFonts w:hint="eastAsia" w:ascii="宋体" w:hAnsi="宋体" w:cs="宋体"/>
          <w:b w:val="0"/>
          <w:bCs w:val="0"/>
          <w:color w:val="auto"/>
          <w:sz w:val="24"/>
          <w:szCs w:val="24"/>
          <w:highlight w:val="none"/>
          <w:lang w:val="en-US" w:eastAsia="zh-CN"/>
        </w:rPr>
        <w:t>项</w:t>
      </w:r>
      <w:r>
        <w:rPr>
          <w:rFonts w:hint="eastAsia" w:ascii="宋体" w:hAnsi="宋体" w:eastAsia="宋体" w:cs="宋体"/>
          <w:b w:val="0"/>
          <w:bCs w:val="0"/>
          <w:color w:val="auto"/>
          <w:sz w:val="24"/>
          <w:szCs w:val="24"/>
          <w:highlight w:val="none"/>
          <w:lang w:val="en-US" w:eastAsia="zh-CN"/>
        </w:rPr>
        <w:t>约定的违约行为且被甲方扣除违约金，合同期内累计次数达到【 5 】次（含本数）的。</w:t>
      </w:r>
    </w:p>
    <w:p w14:paraId="120CAFB9">
      <w:pPr>
        <w:keepNext w:val="0"/>
        <w:keepLines w:val="0"/>
        <w:numPr>
          <w:ilvl w:val="0"/>
          <w:numId w:val="0"/>
        </w:numPr>
        <w:spacing w:line="360" w:lineRule="auto"/>
        <w:ind w:firstLine="480" w:firstLineChars="200"/>
        <w:jc w:val="left"/>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（6）乙方逾期未缴纳或补齐履约保证金。</w:t>
      </w:r>
    </w:p>
    <w:p w14:paraId="3FB125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9.以上赔偿款及违约金甲方均可从履约保证金及任意一笔待支付款项中直接扣除。</w:t>
      </w:r>
    </w:p>
    <w:p w14:paraId="52DA65E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九、合同的生效与终止</w:t>
      </w:r>
    </w:p>
    <w:p w14:paraId="793CBA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本合同自甲、乙双方法定代表人或授权代表签署并加盖公司公章后生效，在维保有效到期前一个月，甲、乙双方商定是否续签合同。</w:t>
      </w:r>
    </w:p>
    <w:p w14:paraId="6D5BC4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十、争议解决</w:t>
      </w:r>
    </w:p>
    <w:p w14:paraId="3948953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 xml:space="preserve">   因本合同履行产生的争议，双方应先友好协商解决；协商解决不成的，任一方均有权向甲方住所地有管辖权的法院提起诉讼。</w:t>
      </w:r>
    </w:p>
    <w:p w14:paraId="194CC31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十一、通知与送达</w:t>
      </w:r>
    </w:p>
    <w:p w14:paraId="74802CE9">
      <w:pPr>
        <w:numPr>
          <w:ilvl w:val="0"/>
          <w:numId w:val="0"/>
        </w:numPr>
        <w:adjustRightInd/>
        <w:snapToGrid/>
        <w:spacing w:line="360" w:lineRule="auto"/>
        <w:ind w:firstLine="480" w:firstLineChars="200"/>
        <w:jc w:val="left"/>
        <w:outlineLvl w:val="9"/>
        <w:rPr>
          <w:rFonts w:hint="eastAsia" w:ascii="宋体" w:hAnsi="宋体" w:eastAsia="宋体" w:cs="宋体"/>
          <w:b w:val="0"/>
          <w:color w:val="auto"/>
          <w:sz w:val="24"/>
          <w:szCs w:val="24"/>
          <w:highlight w:val="none"/>
        </w:rPr>
      </w:pPr>
      <w:r>
        <w:rPr>
          <w:rFonts w:hint="eastAsia" w:ascii="宋体" w:hAnsi="宋体" w:eastAsia="宋体" w:cs="宋体"/>
          <w:b w:val="0"/>
          <w:bCs w:val="0"/>
          <w:color w:val="auto"/>
          <w:sz w:val="24"/>
          <w:szCs w:val="24"/>
          <w:highlight w:val="none"/>
          <w:lang w:val="en-US" w:eastAsia="zh-CN"/>
        </w:rPr>
        <w:t>（一）</w:t>
      </w:r>
      <w:r>
        <w:rPr>
          <w:rFonts w:hint="eastAsia" w:ascii="宋体" w:hAnsi="宋体" w:eastAsia="宋体" w:cs="宋体"/>
          <w:b w:val="0"/>
          <w:color w:val="auto"/>
          <w:sz w:val="24"/>
          <w:szCs w:val="24"/>
          <w:highlight w:val="none"/>
        </w:rPr>
        <w:t xml:space="preserve">任一方发送的任何与本合同履行有关的通知或其他通讯往来均应以本合同所载的地址为准，并以书面形式送达。如采取中国邮政特快专递(EMS)方式送达的，寄出后（以邮政局寄出邮戳为准）第【 </w:t>
      </w:r>
      <w:r>
        <w:rPr>
          <w:rFonts w:hint="eastAsia" w:ascii="宋体" w:hAnsi="宋体" w:eastAsia="宋体" w:cs="宋体"/>
          <w:b w:val="0"/>
          <w:color w:val="auto"/>
          <w:sz w:val="24"/>
          <w:szCs w:val="24"/>
          <w:highlight w:val="none"/>
          <w:lang w:val="en-US" w:eastAsia="zh-CN"/>
        </w:rPr>
        <w:t>5</w:t>
      </w:r>
      <w:r>
        <w:rPr>
          <w:rFonts w:hint="eastAsia" w:ascii="宋体" w:hAnsi="宋体" w:eastAsia="宋体" w:cs="宋体"/>
          <w:b w:val="0"/>
          <w:color w:val="auto"/>
          <w:sz w:val="24"/>
          <w:szCs w:val="24"/>
          <w:highlight w:val="none"/>
        </w:rPr>
        <w:t xml:space="preserve"> 】日（法定节假日顺延）视为送达；以电子邮件等形式发送的，则一经发出即视为送达；面呈送交的，送交当日视为送达。送达时间以上述送达方式中最先送达的为准。</w:t>
      </w:r>
    </w:p>
    <w:p w14:paraId="0E32DD4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（二）双方指定的送达方式为：</w:t>
      </w:r>
    </w:p>
    <w:p w14:paraId="76FEA089">
      <w:pPr>
        <w:numPr>
          <w:ilvl w:val="0"/>
          <w:numId w:val="0"/>
        </w:numPr>
        <w:spacing w:line="360" w:lineRule="auto"/>
        <w:ind w:firstLine="480" w:firstLineChars="200"/>
        <w:outlineLvl w:val="9"/>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lang w:val="en-US" w:eastAsia="zh-CN"/>
        </w:rPr>
        <w:t>1.</w:t>
      </w:r>
      <w:r>
        <w:rPr>
          <w:rFonts w:hint="eastAsia" w:ascii="宋体" w:hAnsi="宋体" w:eastAsia="宋体" w:cs="宋体"/>
          <w:b w:val="0"/>
          <w:color w:val="auto"/>
          <w:sz w:val="24"/>
          <w:szCs w:val="24"/>
          <w:highlight w:val="none"/>
        </w:rPr>
        <w:t>甲方指定送达方式：</w:t>
      </w:r>
    </w:p>
    <w:p w14:paraId="3D28140C">
      <w:pPr>
        <w:numPr>
          <w:ilvl w:val="0"/>
          <w:numId w:val="0"/>
        </w:numPr>
        <w:adjustRightInd/>
        <w:snapToGrid/>
        <w:spacing w:line="360" w:lineRule="auto"/>
        <w:ind w:left="0" w:firstLine="0" w:firstLineChars="0"/>
        <w:jc w:val="left"/>
        <w:outlineLvl w:val="9"/>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 xml:space="preserve">邮寄送达地址为：【   】，收件人：【   】，联系电话：【   】 </w:t>
      </w:r>
    </w:p>
    <w:p w14:paraId="438E3980">
      <w:pPr>
        <w:numPr>
          <w:ilvl w:val="0"/>
          <w:numId w:val="0"/>
        </w:numPr>
        <w:adjustRightInd/>
        <w:snapToGrid/>
        <w:spacing w:line="360" w:lineRule="auto"/>
        <w:ind w:left="0" w:firstLine="0" w:firstLineChars="0"/>
        <w:jc w:val="left"/>
        <w:outlineLvl w:val="9"/>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 xml:space="preserve">电子邮箱为：【   】，邮箱持有人：【   】      </w:t>
      </w:r>
    </w:p>
    <w:p w14:paraId="42525412">
      <w:pPr>
        <w:numPr>
          <w:ilvl w:val="0"/>
          <w:numId w:val="0"/>
        </w:numPr>
        <w:spacing w:line="360" w:lineRule="auto"/>
        <w:ind w:firstLine="480" w:firstLineChars="200"/>
        <w:outlineLvl w:val="9"/>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lang w:val="en-US" w:eastAsia="zh-CN"/>
        </w:rPr>
        <w:t>2.</w:t>
      </w:r>
      <w:r>
        <w:rPr>
          <w:rFonts w:hint="eastAsia" w:ascii="宋体" w:hAnsi="宋体" w:eastAsia="宋体" w:cs="宋体"/>
          <w:b w:val="0"/>
          <w:color w:val="auto"/>
          <w:sz w:val="24"/>
          <w:szCs w:val="24"/>
          <w:highlight w:val="none"/>
        </w:rPr>
        <w:t>乙方指定送达方式：</w:t>
      </w:r>
    </w:p>
    <w:p w14:paraId="372E9A61">
      <w:pPr>
        <w:numPr>
          <w:ilvl w:val="0"/>
          <w:numId w:val="0"/>
        </w:numPr>
        <w:adjustRightInd/>
        <w:snapToGrid/>
        <w:spacing w:line="360" w:lineRule="auto"/>
        <w:ind w:left="0" w:firstLine="0" w:firstLineChars="0"/>
        <w:jc w:val="left"/>
        <w:outlineLvl w:val="9"/>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 xml:space="preserve">邮寄送达地址为：【   】，收件人：【   】，联系电话：【   】       </w:t>
      </w:r>
    </w:p>
    <w:p w14:paraId="05B6416B">
      <w:pPr>
        <w:numPr>
          <w:ilvl w:val="0"/>
          <w:numId w:val="0"/>
        </w:numPr>
        <w:adjustRightInd/>
        <w:snapToGrid/>
        <w:spacing w:line="360" w:lineRule="auto"/>
        <w:ind w:left="0" w:firstLine="0" w:firstLineChars="0"/>
        <w:jc w:val="left"/>
        <w:outlineLvl w:val="9"/>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 xml:space="preserve">电子邮箱为：【   】，邮箱持有人：【   】 </w:t>
      </w:r>
    </w:p>
    <w:p w14:paraId="3CFF3C1F">
      <w:pPr>
        <w:numPr>
          <w:ilvl w:val="0"/>
          <w:numId w:val="0"/>
        </w:numPr>
        <w:adjustRightInd/>
        <w:snapToGrid/>
        <w:spacing w:line="360" w:lineRule="auto"/>
        <w:ind w:firstLine="480" w:firstLineChars="200"/>
        <w:jc w:val="left"/>
        <w:outlineLvl w:val="9"/>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lang w:val="en-US" w:eastAsia="zh-CN"/>
        </w:rPr>
        <w:t>3.</w:t>
      </w:r>
      <w:r>
        <w:rPr>
          <w:rFonts w:hint="eastAsia" w:ascii="宋体" w:hAnsi="宋体" w:eastAsia="宋体" w:cs="宋体"/>
          <w:b w:val="0"/>
          <w:color w:val="auto"/>
          <w:sz w:val="24"/>
          <w:szCs w:val="24"/>
          <w:highlight w:val="none"/>
        </w:rPr>
        <w:t xml:space="preserve">各方应确保上述送达信息准确、有效。任何一方的送达信息发生变更的，变更方均应在变更之日起【 </w:t>
      </w:r>
      <w:r>
        <w:rPr>
          <w:rFonts w:hint="eastAsia" w:ascii="宋体" w:hAnsi="宋体" w:eastAsia="宋体" w:cs="宋体"/>
          <w:b w:val="0"/>
          <w:color w:val="auto"/>
          <w:sz w:val="24"/>
          <w:szCs w:val="24"/>
          <w:highlight w:val="none"/>
          <w:lang w:val="en-US" w:eastAsia="zh-CN"/>
        </w:rPr>
        <w:t>5</w:t>
      </w:r>
      <w:r>
        <w:rPr>
          <w:rFonts w:hint="eastAsia" w:ascii="宋体" w:hAnsi="宋体" w:eastAsia="宋体" w:cs="宋体"/>
          <w:b w:val="0"/>
          <w:color w:val="auto"/>
          <w:sz w:val="24"/>
          <w:szCs w:val="24"/>
          <w:highlight w:val="none"/>
        </w:rPr>
        <w:t xml:space="preserve"> 】个工作日内将变更内容通知其他各方。凡按各方最后地址送达的通知或其他有关文件（含代收、拒收、退回、查无此人等情况的），均视为有效送达。如因提供送达信息不准确或变更方不及时告知变更内容等导致任何可能的法律后果，均由该方自行承担。</w:t>
      </w:r>
    </w:p>
    <w:p w14:paraId="1A658346">
      <w:pPr>
        <w:numPr>
          <w:ilvl w:val="0"/>
          <w:numId w:val="0"/>
        </w:numPr>
        <w:adjustRightInd/>
        <w:snapToGrid/>
        <w:spacing w:line="360" w:lineRule="auto"/>
        <w:ind w:firstLine="480" w:firstLineChars="200"/>
        <w:jc w:val="left"/>
        <w:outlineLvl w:val="9"/>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4.本合同载明的送达方式亦适用于因履行本协议产生纠纷后的诉讼程序各司法阶段法律文书的送达。</w:t>
      </w:r>
    </w:p>
    <w:p w14:paraId="63C3CF4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 xml:space="preserve">5.本条关于相关文件及法律文书的送达地址所作的约定，属于合同中独立存在的关于有效送达地址的确认的条款。如发生本合同全部或部分被确认无效或撤销等情形时，本条款对合同双方继续有效。     </w:t>
      </w:r>
    </w:p>
    <w:p w14:paraId="7535034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十二、其他事项</w:t>
      </w:r>
    </w:p>
    <w:p w14:paraId="60B04B1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b w:val="0"/>
          <w:color w:val="auto"/>
          <w:sz w:val="24"/>
          <w:szCs w:val="24"/>
        </w:rPr>
      </w:pPr>
      <w:r>
        <w:rPr>
          <w:rFonts w:hint="eastAsia" w:ascii="宋体" w:hAnsi="宋体"/>
          <w:b w:val="0"/>
          <w:color w:val="auto"/>
          <w:sz w:val="24"/>
          <w:szCs w:val="24"/>
          <w:lang w:eastAsia="zh-CN"/>
        </w:rPr>
        <w:t>（</w:t>
      </w:r>
      <w:r>
        <w:rPr>
          <w:rFonts w:hint="eastAsia" w:ascii="宋体" w:hAnsi="宋体"/>
          <w:b w:val="0"/>
          <w:color w:val="auto"/>
          <w:sz w:val="24"/>
          <w:szCs w:val="24"/>
          <w:lang w:val="en-US" w:eastAsia="zh-CN"/>
        </w:rPr>
        <w:t>一</w:t>
      </w:r>
      <w:r>
        <w:rPr>
          <w:rFonts w:hint="eastAsia" w:ascii="宋体" w:hAnsi="宋体"/>
          <w:b w:val="0"/>
          <w:color w:val="auto"/>
          <w:sz w:val="24"/>
          <w:szCs w:val="24"/>
          <w:lang w:eastAsia="zh-CN"/>
        </w:rPr>
        <w:t>）</w:t>
      </w:r>
      <w:r>
        <w:rPr>
          <w:rFonts w:hint="eastAsia" w:ascii="宋体" w:hAnsi="宋体"/>
          <w:b w:val="0"/>
          <w:color w:val="auto"/>
          <w:sz w:val="24"/>
          <w:szCs w:val="24"/>
        </w:rPr>
        <w:t>本项目招标文件、投标文件、其他经甲方认可的书面文件（以下简称其他书面文件）与本合同具有同等法律效力。本项目招标文件、投标文件、其他书面文件与本合同不一致的部分，以本合同为准。但招标文件、投标文件、其他书面文件与本合同服务质量有不同约定的，以质量更高者为准；招标文件、投标文件或其他书面文件约定的服务内容、服务项目在本合同中没有约定的，仍应作为乙方在本合同项下应提供的服务。</w:t>
      </w:r>
    </w:p>
    <w:p w14:paraId="3B1CAA9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b w:val="0"/>
          <w:color w:val="auto"/>
          <w:sz w:val="24"/>
          <w:szCs w:val="24"/>
          <w:lang w:eastAsia="zh-CN"/>
        </w:rPr>
      </w:pPr>
      <w:r>
        <w:rPr>
          <w:rFonts w:hint="eastAsia" w:ascii="宋体" w:hAnsi="宋体" w:eastAsia="宋体"/>
          <w:b w:val="0"/>
          <w:color w:val="auto"/>
          <w:sz w:val="24"/>
          <w:szCs w:val="24"/>
          <w:lang w:eastAsia="zh-CN"/>
        </w:rPr>
        <w:t>（</w:t>
      </w:r>
      <w:r>
        <w:rPr>
          <w:rFonts w:hint="eastAsia" w:ascii="宋体" w:hAnsi="宋体" w:eastAsia="宋体"/>
          <w:b w:val="0"/>
          <w:color w:val="auto"/>
          <w:sz w:val="24"/>
          <w:szCs w:val="24"/>
          <w:lang w:val="en-US" w:eastAsia="zh-CN"/>
        </w:rPr>
        <w:t>二</w:t>
      </w:r>
      <w:r>
        <w:rPr>
          <w:rFonts w:hint="eastAsia" w:ascii="宋体" w:hAnsi="宋体" w:eastAsia="宋体"/>
          <w:b w:val="0"/>
          <w:color w:val="auto"/>
          <w:sz w:val="24"/>
          <w:szCs w:val="24"/>
          <w:lang w:eastAsia="zh-CN"/>
        </w:rPr>
        <w:t>）其它未尽事宜，由双方</w:t>
      </w:r>
      <w:r>
        <w:rPr>
          <w:rFonts w:hint="eastAsia" w:ascii="宋体" w:hAnsi="宋体" w:eastAsia="宋体"/>
          <w:b w:val="0"/>
          <w:color w:val="auto"/>
          <w:sz w:val="24"/>
          <w:szCs w:val="24"/>
          <w:lang w:val="en-US" w:eastAsia="zh-CN"/>
        </w:rPr>
        <w:t>友好</w:t>
      </w:r>
      <w:r>
        <w:rPr>
          <w:rFonts w:hint="eastAsia" w:ascii="宋体" w:hAnsi="宋体" w:eastAsia="宋体"/>
          <w:b w:val="0"/>
          <w:color w:val="auto"/>
          <w:sz w:val="24"/>
          <w:szCs w:val="24"/>
          <w:lang w:eastAsia="zh-CN"/>
        </w:rPr>
        <w:t>协商，可另行签订补充协议。</w:t>
      </w:r>
    </w:p>
    <w:p w14:paraId="6F6CA3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b w:val="0"/>
          <w:color w:val="auto"/>
          <w:sz w:val="24"/>
          <w:szCs w:val="24"/>
          <w:lang w:eastAsia="zh-CN"/>
        </w:rPr>
        <w:t>（</w:t>
      </w:r>
      <w:r>
        <w:rPr>
          <w:rFonts w:hint="eastAsia" w:ascii="宋体" w:hAnsi="宋体" w:eastAsia="宋体"/>
          <w:b w:val="0"/>
          <w:color w:val="auto"/>
          <w:sz w:val="24"/>
          <w:szCs w:val="24"/>
          <w:lang w:val="en-US" w:eastAsia="zh-CN"/>
        </w:rPr>
        <w:t>三</w:t>
      </w:r>
      <w:r>
        <w:rPr>
          <w:rFonts w:hint="eastAsia" w:ascii="宋体" w:hAnsi="宋体" w:eastAsia="宋体"/>
          <w:b w:val="0"/>
          <w:color w:val="auto"/>
          <w:sz w:val="24"/>
          <w:szCs w:val="24"/>
          <w:lang w:eastAsia="zh-CN"/>
        </w:rPr>
        <w:t>）</w:t>
      </w:r>
      <w:r>
        <w:rPr>
          <w:rFonts w:hint="eastAsia" w:ascii="宋体" w:hAnsi="宋体" w:eastAsia="宋体" w:cs="宋体"/>
          <w:b w:val="0"/>
          <w:bCs w:val="0"/>
          <w:color w:val="auto"/>
          <w:sz w:val="24"/>
          <w:szCs w:val="24"/>
          <w:highlight w:val="none"/>
          <w:lang w:val="en-US" w:eastAsia="zh-CN"/>
        </w:rPr>
        <w:t>本合同一式【</w:t>
      </w:r>
      <w:r>
        <w:rPr>
          <w:rFonts w:hint="eastAsia" w:ascii="宋体" w:hAnsi="宋体" w:cs="宋体"/>
          <w:b w:val="0"/>
          <w:bCs w:val="0"/>
          <w:color w:val="auto"/>
          <w:sz w:val="24"/>
          <w:szCs w:val="24"/>
          <w:highlight w:val="none"/>
          <w:lang w:val="en-US" w:eastAsia="zh-CN"/>
        </w:rPr>
        <w:t>肆</w:t>
      </w:r>
      <w:r>
        <w:rPr>
          <w:rFonts w:hint="eastAsia" w:ascii="宋体" w:hAnsi="宋体" w:eastAsia="宋体" w:cs="宋体"/>
          <w:b w:val="0"/>
          <w:bCs w:val="0"/>
          <w:color w:val="auto"/>
          <w:sz w:val="24"/>
          <w:szCs w:val="24"/>
          <w:highlight w:val="none"/>
          <w:lang w:val="en-US" w:eastAsia="zh-CN"/>
        </w:rPr>
        <w:t>】份，甲方执【</w:t>
      </w:r>
      <w:r>
        <w:rPr>
          <w:rFonts w:hint="eastAsia" w:ascii="宋体" w:hAnsi="宋体" w:cs="宋体"/>
          <w:b w:val="0"/>
          <w:bCs w:val="0"/>
          <w:color w:val="auto"/>
          <w:sz w:val="24"/>
          <w:szCs w:val="24"/>
          <w:highlight w:val="none"/>
          <w:lang w:val="en-US" w:eastAsia="zh-CN"/>
        </w:rPr>
        <w:t>贰</w:t>
      </w:r>
      <w:r>
        <w:rPr>
          <w:rFonts w:hint="eastAsia" w:ascii="宋体" w:hAnsi="宋体" w:eastAsia="宋体" w:cs="宋体"/>
          <w:b w:val="0"/>
          <w:bCs w:val="0"/>
          <w:color w:val="auto"/>
          <w:sz w:val="24"/>
          <w:szCs w:val="24"/>
          <w:highlight w:val="none"/>
          <w:lang w:val="en-US" w:eastAsia="zh-CN"/>
        </w:rPr>
        <w:t>】份，乙方执【贰】份，具有同等法律效力。</w:t>
      </w:r>
    </w:p>
    <w:p w14:paraId="09BC649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p>
    <w:p w14:paraId="7186A37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bCs/>
          <w:color w:val="auto"/>
          <w:sz w:val="24"/>
          <w:szCs w:val="24"/>
          <w:highlight w:val="none"/>
          <w:lang w:val="en-US" w:eastAsia="zh-CN"/>
        </w:rPr>
      </w:pPr>
    </w:p>
    <w:p w14:paraId="7252776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jc w:val="left"/>
        <w:textAlignment w:val="auto"/>
        <w:outlineLvl w:val="9"/>
        <w:rPr>
          <w:rFonts w:hint="eastAsia" w:ascii="宋体" w:hAnsi="宋体" w:eastAsia="宋体" w:cs="宋体"/>
          <w:b w:val="0"/>
          <w:bCs w:val="0"/>
          <w:color w:val="auto"/>
          <w:sz w:val="24"/>
          <w:szCs w:val="24"/>
          <w:highlight w:val="none"/>
          <w:lang w:val="en-US" w:eastAsia="zh-CN"/>
        </w:rPr>
      </w:pPr>
    </w:p>
    <w:p w14:paraId="2370A6B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 xml:space="preserve">甲方（盖章）：                       乙方 （盖章）：                                  </w:t>
      </w:r>
    </w:p>
    <w:p w14:paraId="234111C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jc w:val="left"/>
        <w:textAlignment w:val="auto"/>
        <w:outlineLvl w:val="9"/>
        <w:rPr>
          <w:rFonts w:hint="eastAsia" w:ascii="宋体" w:hAnsi="宋体" w:eastAsia="宋体" w:cs="宋体"/>
          <w:b w:val="0"/>
          <w:bCs w:val="0"/>
          <w:color w:val="auto"/>
          <w:sz w:val="24"/>
          <w:szCs w:val="24"/>
          <w:highlight w:val="none"/>
          <w:lang w:val="en-US" w:eastAsia="zh-CN"/>
        </w:rPr>
      </w:pPr>
    </w:p>
    <w:p w14:paraId="1D9ABC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 xml:space="preserve">法定代表人或授权代表（签字）：       法定代表人或授权代表（签字）： </w:t>
      </w:r>
    </w:p>
    <w:p w14:paraId="4DCF48B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jc w:val="left"/>
        <w:textAlignment w:val="auto"/>
        <w:outlineLvl w:val="9"/>
        <w:rPr>
          <w:rFonts w:hint="eastAsia" w:ascii="宋体" w:hAnsi="宋体" w:eastAsia="宋体" w:cs="宋体"/>
          <w:b w:val="0"/>
          <w:bCs w:val="0"/>
          <w:color w:val="auto"/>
          <w:sz w:val="24"/>
          <w:szCs w:val="24"/>
          <w:highlight w:val="none"/>
          <w:lang w:val="en-US" w:eastAsia="zh-CN"/>
        </w:rPr>
      </w:pPr>
    </w:p>
    <w:p w14:paraId="4BF3DA9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 xml:space="preserve">   年   月   日                         年   月   日</w:t>
      </w:r>
    </w:p>
    <w:p w14:paraId="644FA60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jc w:val="left"/>
        <w:textAlignment w:val="auto"/>
        <w:outlineLvl w:val="9"/>
        <w:rPr>
          <w:rFonts w:hint="eastAsia" w:ascii="宋体" w:hAnsi="宋体" w:eastAsia="宋体" w:cs="宋体"/>
          <w:b w:val="0"/>
          <w:bCs w:val="0"/>
          <w:color w:val="auto"/>
          <w:sz w:val="24"/>
          <w:szCs w:val="24"/>
          <w:highlight w:val="none"/>
          <w:lang w:val="en-US" w:eastAsia="zh-CN"/>
        </w:rPr>
        <w:sectPr>
          <w:footerReference r:id="rId5" w:type="default"/>
          <w:footerReference r:id="rId6" w:type="even"/>
          <w:pgSz w:w="11906" w:h="16838"/>
          <w:pgMar w:top="1440" w:right="1588" w:bottom="1440" w:left="1588" w:header="851" w:footer="992" w:gutter="0"/>
          <w:pgNumType w:fmt="decimal"/>
          <w:cols w:space="720" w:num="1"/>
          <w:docGrid w:type="lines" w:linePitch="312" w:charSpace="0"/>
        </w:sectPr>
      </w:pPr>
    </w:p>
    <w:p w14:paraId="5E8AE78B">
      <w:pPr>
        <w:keepNext w:val="0"/>
        <w:keepLines w:val="0"/>
        <w:widowControl/>
        <w:suppressLineNumbers w:val="0"/>
        <w:jc w:val="left"/>
        <w:textAlignment w:val="center"/>
        <w:outlineLvl w:val="0"/>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附件1.建筑消防设施维护保养服务清单</w:t>
      </w:r>
    </w:p>
    <w:p w14:paraId="2AE59D8D">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p>
    <w:tbl>
      <w:tblPr>
        <w:tblStyle w:val="39"/>
        <w:tblW w:w="14072"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2"/>
        <w:gridCol w:w="1341"/>
        <w:gridCol w:w="1218"/>
        <w:gridCol w:w="3994"/>
        <w:gridCol w:w="1078"/>
        <w:gridCol w:w="3713"/>
        <w:gridCol w:w="1050"/>
        <w:gridCol w:w="806"/>
      </w:tblGrid>
      <w:tr w14:paraId="1F9D5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4072" w:type="dxa"/>
            <w:gridSpan w:val="8"/>
            <w:tcBorders>
              <w:top w:val="nil"/>
              <w:left w:val="nil"/>
              <w:bottom w:val="nil"/>
              <w:right w:val="nil"/>
            </w:tcBorders>
            <w:noWrap/>
            <w:vAlign w:val="center"/>
          </w:tcPr>
          <w:p w14:paraId="3AD6DFE1">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建筑消防设施维护保养服务清单</w:t>
            </w:r>
          </w:p>
        </w:tc>
      </w:tr>
      <w:tr w14:paraId="0E064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4072" w:type="dxa"/>
            <w:gridSpan w:val="8"/>
            <w:tcBorders>
              <w:top w:val="nil"/>
              <w:left w:val="nil"/>
              <w:bottom w:val="nil"/>
              <w:right w:val="nil"/>
            </w:tcBorders>
            <w:noWrap/>
            <w:vAlign w:val="center"/>
          </w:tcPr>
          <w:p w14:paraId="598018D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项目名称：</w:t>
            </w:r>
          </w:p>
        </w:tc>
      </w:tr>
      <w:tr w14:paraId="38962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restar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4B37EDB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2559" w:type="dxa"/>
            <w:gridSpan w:val="2"/>
            <w:vMerge w:val="restar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E1499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维保项目</w:t>
            </w:r>
          </w:p>
        </w:tc>
        <w:tc>
          <w:tcPr>
            <w:tcW w:w="9835" w:type="dxa"/>
            <w:gridSpan w:val="4"/>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15B926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维保标准</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0654446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14:paraId="371CF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73BAF5E1">
            <w:pPr>
              <w:jc w:val="center"/>
              <w:rPr>
                <w:rFonts w:hint="eastAsia" w:ascii="宋体" w:hAnsi="宋体" w:eastAsia="宋体" w:cs="宋体"/>
                <w:b/>
                <w:bCs/>
                <w:i w:val="0"/>
                <w:iCs w:val="0"/>
                <w:color w:val="000000"/>
                <w:sz w:val="20"/>
                <w:szCs w:val="20"/>
                <w:u w:val="none"/>
              </w:rPr>
            </w:pPr>
          </w:p>
        </w:tc>
        <w:tc>
          <w:tcPr>
            <w:tcW w:w="2559" w:type="dxa"/>
            <w:gridSpan w:val="2"/>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4358109">
            <w:pPr>
              <w:jc w:val="center"/>
              <w:rPr>
                <w:rFonts w:hint="eastAsia" w:ascii="宋体" w:hAnsi="宋体" w:eastAsia="宋体" w:cs="宋体"/>
                <w:i w:val="0"/>
                <w:iCs w:val="0"/>
                <w:color w:val="000000"/>
                <w:sz w:val="20"/>
                <w:szCs w:val="20"/>
                <w:u w:val="none"/>
              </w:rPr>
            </w:pPr>
          </w:p>
        </w:tc>
        <w:tc>
          <w:tcPr>
            <w:tcW w:w="5072" w:type="dxa"/>
            <w:gridSpan w:val="2"/>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6A5087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检查内容</w:t>
            </w:r>
          </w:p>
        </w:tc>
        <w:tc>
          <w:tcPr>
            <w:tcW w:w="4763" w:type="dxa"/>
            <w:gridSpan w:val="2"/>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6355B4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保养内容</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6A352AA9">
            <w:pPr>
              <w:jc w:val="center"/>
              <w:rPr>
                <w:rFonts w:hint="eastAsia" w:ascii="宋体" w:hAnsi="宋体" w:eastAsia="宋体" w:cs="宋体"/>
                <w:b/>
                <w:bCs/>
                <w:i w:val="0"/>
                <w:iCs w:val="0"/>
                <w:color w:val="000000"/>
                <w:sz w:val="20"/>
                <w:szCs w:val="20"/>
                <w:u w:val="none"/>
              </w:rPr>
            </w:pPr>
          </w:p>
        </w:tc>
      </w:tr>
      <w:tr w14:paraId="41DD2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2850F116">
            <w:pPr>
              <w:jc w:val="center"/>
              <w:rPr>
                <w:rFonts w:hint="eastAsia" w:ascii="宋体" w:hAnsi="宋体" w:eastAsia="宋体" w:cs="宋体"/>
                <w:b/>
                <w:bCs/>
                <w:i w:val="0"/>
                <w:iCs w:val="0"/>
                <w:color w:val="000000"/>
                <w:sz w:val="20"/>
                <w:szCs w:val="20"/>
                <w:u w:val="none"/>
              </w:rPr>
            </w:pPr>
          </w:p>
        </w:tc>
        <w:tc>
          <w:tcPr>
            <w:tcW w:w="1341" w:type="dxa"/>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3EA75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项目类型</w:t>
            </w:r>
          </w:p>
        </w:tc>
        <w:tc>
          <w:tcPr>
            <w:tcW w:w="1218" w:type="dxa"/>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19710E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项目名称</w:t>
            </w:r>
          </w:p>
        </w:tc>
        <w:tc>
          <w:tcPr>
            <w:tcW w:w="3994" w:type="dxa"/>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930DC4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检查内容</w:t>
            </w:r>
          </w:p>
        </w:tc>
        <w:tc>
          <w:tcPr>
            <w:tcW w:w="1078"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0BEA929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检查周期</w:t>
            </w:r>
          </w:p>
        </w:tc>
        <w:tc>
          <w:tcPr>
            <w:tcW w:w="3713" w:type="dxa"/>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F7219D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保养方法</w:t>
            </w:r>
          </w:p>
        </w:tc>
        <w:tc>
          <w:tcPr>
            <w:tcW w:w="1050"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3B4A626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保养周期</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56D372BD">
            <w:pPr>
              <w:jc w:val="center"/>
              <w:rPr>
                <w:rFonts w:hint="eastAsia" w:ascii="宋体" w:hAnsi="宋体" w:eastAsia="宋体" w:cs="宋体"/>
                <w:b/>
                <w:bCs/>
                <w:i w:val="0"/>
                <w:iCs w:val="0"/>
                <w:color w:val="000000"/>
                <w:sz w:val="20"/>
                <w:szCs w:val="20"/>
                <w:u w:val="none"/>
              </w:rPr>
            </w:pPr>
          </w:p>
        </w:tc>
      </w:tr>
      <w:tr w14:paraId="2417A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restart"/>
            <w:tcBorders>
              <w:top w:val="single" w:color="000000" w:sz="4" w:space="0"/>
              <w:left w:val="single" w:color="000000" w:sz="4" w:space="0"/>
              <w:bottom w:val="single" w:color="000000" w:sz="4" w:space="0"/>
              <w:right w:val="single" w:color="000000" w:sz="4" w:space="0"/>
            </w:tcBorders>
            <w:noWrap w:val="0"/>
            <w:vAlign w:val="center"/>
          </w:tcPr>
          <w:p w14:paraId="38A548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41" w:type="dxa"/>
            <w:vMerge w:val="restart"/>
            <w:tcBorders>
              <w:top w:val="single" w:color="000000" w:sz="4" w:space="0"/>
              <w:left w:val="single" w:color="000000" w:sz="4" w:space="0"/>
              <w:bottom w:val="single" w:color="000000" w:sz="4" w:space="0"/>
              <w:right w:val="single" w:color="000000" w:sz="4" w:space="0"/>
            </w:tcBorders>
            <w:noWrap w:val="0"/>
            <w:vAlign w:val="center"/>
          </w:tcPr>
          <w:p w14:paraId="663C1F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火灾自动报警系统</w:t>
            </w: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571EBB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火灾报警控制器</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10354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检查控制器指示灯、显示屏、音响器件，应完好有效</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99C85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74568B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切断电源，采用专用清洁工具清除线路板、接线端子及柜（箱）体内灰尘</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C6B61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808B95A">
            <w:pPr>
              <w:rPr>
                <w:rFonts w:hint="eastAsia" w:ascii="宋体" w:hAnsi="宋体" w:eastAsia="宋体" w:cs="宋体"/>
                <w:i w:val="0"/>
                <w:iCs w:val="0"/>
                <w:color w:val="000000"/>
                <w:sz w:val="20"/>
                <w:szCs w:val="20"/>
                <w:u w:val="none"/>
              </w:rPr>
            </w:pPr>
          </w:p>
        </w:tc>
      </w:tr>
      <w:tr w14:paraId="0487E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3448B7">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FC5A9E">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8A3D27">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9DCA8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检查控制器外部线路应无缺损，接线端子应无松脱，线标端子标识应清晰，外部接口接触良好</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C204B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492D8A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空气潮湿场所的控制器设备柜（箱）体内应放置干燥剂</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271A0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按要求</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00107DD1">
            <w:pPr>
              <w:rPr>
                <w:rFonts w:hint="eastAsia" w:ascii="宋体" w:hAnsi="宋体" w:eastAsia="宋体" w:cs="宋体"/>
                <w:i w:val="0"/>
                <w:iCs w:val="0"/>
                <w:color w:val="000000"/>
                <w:sz w:val="20"/>
                <w:szCs w:val="20"/>
                <w:u w:val="none"/>
              </w:rPr>
            </w:pPr>
          </w:p>
        </w:tc>
      </w:tr>
      <w:tr w14:paraId="488D6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313149">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6B938F">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F7A6CD">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E2730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检查控制器各项功能应正常</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16E542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4548F9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最末端火灾探测器或模块的供电电压值小于说明书规定值时，应更换回路板或调整线路</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E1FB7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74CDAA57">
            <w:pPr>
              <w:rPr>
                <w:rFonts w:hint="eastAsia" w:ascii="宋体" w:hAnsi="宋体" w:eastAsia="宋体" w:cs="宋体"/>
                <w:i w:val="0"/>
                <w:iCs w:val="0"/>
                <w:color w:val="000000"/>
                <w:sz w:val="20"/>
                <w:szCs w:val="20"/>
                <w:u w:val="none"/>
              </w:rPr>
            </w:pPr>
          </w:p>
        </w:tc>
      </w:tr>
      <w:tr w14:paraId="024EF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547BBE">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870240">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5B8D8D">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66DCA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用万用表测量控制器的各项输出电压，应满足产品使用说明书的要求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544178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2B4E07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检查火灾报警控制器外部接线端子，发现松动应紧固</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F8B35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36AE9E1B">
            <w:pPr>
              <w:rPr>
                <w:rFonts w:hint="eastAsia" w:ascii="宋体" w:hAnsi="宋体" w:eastAsia="宋体" w:cs="宋体"/>
                <w:i w:val="0"/>
                <w:iCs w:val="0"/>
                <w:color w:val="000000"/>
                <w:sz w:val="20"/>
                <w:szCs w:val="20"/>
                <w:u w:val="none"/>
              </w:rPr>
            </w:pPr>
          </w:p>
        </w:tc>
      </w:tr>
      <w:tr w14:paraId="30DBF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82FFD4">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D1A93D">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8D87FF">
            <w:pPr>
              <w:jc w:val="center"/>
              <w:rPr>
                <w:rFonts w:hint="eastAsia" w:ascii="宋体" w:hAnsi="宋体" w:eastAsia="宋体" w:cs="宋体"/>
                <w:i w:val="0"/>
                <w:iCs w:val="0"/>
                <w:color w:val="000000"/>
                <w:sz w:val="20"/>
                <w:szCs w:val="20"/>
                <w:u w:val="none"/>
              </w:rPr>
            </w:pPr>
          </w:p>
        </w:tc>
        <w:tc>
          <w:tcPr>
            <w:tcW w:w="3994" w:type="dxa"/>
            <w:vMerge w:val="restart"/>
            <w:tcBorders>
              <w:top w:val="single" w:color="000000" w:sz="4" w:space="0"/>
              <w:left w:val="single" w:color="000000" w:sz="4" w:space="0"/>
              <w:bottom w:val="single" w:color="000000" w:sz="4" w:space="0"/>
              <w:right w:val="single" w:color="000000" w:sz="4" w:space="0"/>
            </w:tcBorders>
            <w:noWrap w:val="0"/>
            <w:vAlign w:val="center"/>
          </w:tcPr>
          <w:p w14:paraId="6E7DEF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用万用表测量控制总线回路最末端火灾探测器或模块的输入电压，应满足设计要求</w:t>
            </w:r>
          </w:p>
        </w:tc>
        <w:tc>
          <w:tcPr>
            <w:tcW w:w="1078" w:type="dxa"/>
            <w:vMerge w:val="restart"/>
            <w:tcBorders>
              <w:top w:val="single" w:color="000000" w:sz="4" w:space="0"/>
              <w:left w:val="single" w:color="000000" w:sz="4" w:space="0"/>
              <w:bottom w:val="single" w:color="000000" w:sz="4" w:space="0"/>
              <w:right w:val="single" w:color="000000" w:sz="4" w:space="0"/>
            </w:tcBorders>
            <w:noWrap w:val="0"/>
            <w:vAlign w:val="center"/>
          </w:tcPr>
          <w:p w14:paraId="693E53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5D9B8A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备份火灾报警控制器内的软件信息</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D5CCF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20BD697B">
            <w:pPr>
              <w:rPr>
                <w:rFonts w:hint="eastAsia" w:ascii="宋体" w:hAnsi="宋体" w:eastAsia="宋体" w:cs="宋体"/>
                <w:i w:val="0"/>
                <w:iCs w:val="0"/>
                <w:color w:val="000000"/>
                <w:sz w:val="20"/>
                <w:szCs w:val="20"/>
                <w:u w:val="none"/>
              </w:rPr>
            </w:pPr>
          </w:p>
        </w:tc>
      </w:tr>
      <w:tr w14:paraId="77DF8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5CA0C4">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5341FB">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5FA065">
            <w:pPr>
              <w:jc w:val="center"/>
              <w:rPr>
                <w:rFonts w:hint="eastAsia" w:ascii="宋体" w:hAnsi="宋体" w:eastAsia="宋体" w:cs="宋体"/>
                <w:i w:val="0"/>
                <w:iCs w:val="0"/>
                <w:color w:val="000000"/>
                <w:sz w:val="20"/>
                <w:szCs w:val="20"/>
                <w:u w:val="none"/>
              </w:rPr>
            </w:pPr>
          </w:p>
        </w:tc>
        <w:tc>
          <w:tcPr>
            <w:tcW w:w="39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0B343E">
            <w:pPr>
              <w:jc w:val="left"/>
              <w:rPr>
                <w:rFonts w:hint="eastAsia" w:ascii="宋体" w:hAnsi="宋体" w:eastAsia="宋体" w:cs="宋体"/>
                <w:i w:val="0"/>
                <w:iCs w:val="0"/>
                <w:color w:val="000000"/>
                <w:sz w:val="20"/>
                <w:szCs w:val="20"/>
                <w:u w:val="none"/>
              </w:rPr>
            </w:pPr>
          </w:p>
        </w:tc>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28F300">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05A476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电池按照产品说明书进行保养</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A73FC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按要求</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241FD9D">
            <w:pPr>
              <w:rPr>
                <w:rFonts w:hint="eastAsia" w:ascii="宋体" w:hAnsi="宋体" w:eastAsia="宋体" w:cs="宋体"/>
                <w:i w:val="0"/>
                <w:iCs w:val="0"/>
                <w:color w:val="000000"/>
                <w:sz w:val="20"/>
                <w:szCs w:val="20"/>
                <w:u w:val="none"/>
              </w:rPr>
            </w:pPr>
          </w:p>
        </w:tc>
      </w:tr>
      <w:tr w14:paraId="48018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8F1643">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F63EBF">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1DB41B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烟感</w:t>
            </w:r>
          </w:p>
        </w:tc>
        <w:tc>
          <w:tcPr>
            <w:tcW w:w="3994" w:type="dxa"/>
            <w:vMerge w:val="restart"/>
            <w:tcBorders>
              <w:top w:val="single" w:color="000000" w:sz="4" w:space="0"/>
              <w:left w:val="single" w:color="000000" w:sz="4" w:space="0"/>
              <w:bottom w:val="single" w:color="000000" w:sz="4" w:space="0"/>
              <w:right w:val="single" w:color="000000" w:sz="4" w:space="0"/>
            </w:tcBorders>
            <w:noWrap w:val="0"/>
            <w:vAlign w:val="center"/>
          </w:tcPr>
          <w:p w14:paraId="027ACB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检查点型感烟火灾探测器工作状态是否正常。</w:t>
            </w:r>
          </w:p>
        </w:tc>
        <w:tc>
          <w:tcPr>
            <w:tcW w:w="1078" w:type="dxa"/>
            <w:vMerge w:val="restart"/>
            <w:tcBorders>
              <w:top w:val="single" w:color="000000" w:sz="4" w:space="0"/>
              <w:left w:val="single" w:color="000000" w:sz="4" w:space="0"/>
              <w:bottom w:val="single" w:color="000000" w:sz="4" w:space="0"/>
              <w:right w:val="single" w:color="000000" w:sz="4" w:space="0"/>
            </w:tcBorders>
            <w:noWrap w:val="0"/>
            <w:vAlign w:val="center"/>
          </w:tcPr>
          <w:p w14:paraId="04A080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6538FF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重新紧固连接松动的端子，更换有锈蚀痕迹的螺丝、端子垫片等接线部件，去除有锈蚀的导线端，搪锡后重新连接；</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73F81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132B8F14">
            <w:pPr>
              <w:rPr>
                <w:rFonts w:hint="eastAsia" w:ascii="宋体" w:hAnsi="宋体" w:eastAsia="宋体" w:cs="宋体"/>
                <w:i w:val="0"/>
                <w:iCs w:val="0"/>
                <w:color w:val="000000"/>
                <w:sz w:val="20"/>
                <w:szCs w:val="20"/>
                <w:u w:val="none"/>
              </w:rPr>
            </w:pPr>
          </w:p>
        </w:tc>
      </w:tr>
      <w:tr w14:paraId="66BFB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ED09BD">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8BC0EF">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A02920">
            <w:pPr>
              <w:jc w:val="center"/>
              <w:rPr>
                <w:rFonts w:hint="eastAsia" w:ascii="宋体" w:hAnsi="宋体" w:eastAsia="宋体" w:cs="宋体"/>
                <w:i w:val="0"/>
                <w:iCs w:val="0"/>
                <w:color w:val="000000"/>
                <w:sz w:val="20"/>
                <w:szCs w:val="20"/>
                <w:u w:val="none"/>
              </w:rPr>
            </w:pPr>
          </w:p>
        </w:tc>
        <w:tc>
          <w:tcPr>
            <w:tcW w:w="39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8D8E20">
            <w:pPr>
              <w:jc w:val="left"/>
              <w:rPr>
                <w:rFonts w:hint="eastAsia" w:ascii="宋体" w:hAnsi="宋体" w:eastAsia="宋体" w:cs="宋体"/>
                <w:i w:val="0"/>
                <w:iCs w:val="0"/>
                <w:color w:val="000000"/>
                <w:sz w:val="20"/>
                <w:szCs w:val="20"/>
                <w:u w:val="none"/>
              </w:rPr>
            </w:pPr>
          </w:p>
        </w:tc>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D5B6A2">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1D86BA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点型感烟火灾探测器投入运行两年后，应每隔三年至少全部清洗一遍，使用环境较差的火灾探测器应每年清洗；</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47064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三年</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4307027F">
            <w:pPr>
              <w:rPr>
                <w:rFonts w:hint="eastAsia" w:ascii="宋体" w:hAnsi="宋体" w:eastAsia="宋体" w:cs="宋体"/>
                <w:i w:val="0"/>
                <w:iCs w:val="0"/>
                <w:color w:val="000000"/>
                <w:sz w:val="20"/>
                <w:szCs w:val="20"/>
                <w:u w:val="none"/>
              </w:rPr>
            </w:pPr>
          </w:p>
        </w:tc>
      </w:tr>
      <w:tr w14:paraId="169C3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A26601">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BA08F4">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48E83B">
            <w:pPr>
              <w:jc w:val="center"/>
              <w:rPr>
                <w:rFonts w:hint="eastAsia" w:ascii="宋体" w:hAnsi="宋体" w:eastAsia="宋体" w:cs="宋体"/>
                <w:i w:val="0"/>
                <w:iCs w:val="0"/>
                <w:color w:val="000000"/>
                <w:sz w:val="20"/>
                <w:szCs w:val="20"/>
                <w:u w:val="none"/>
              </w:rPr>
            </w:pPr>
          </w:p>
        </w:tc>
        <w:tc>
          <w:tcPr>
            <w:tcW w:w="3994" w:type="dxa"/>
            <w:vMerge w:val="restart"/>
            <w:tcBorders>
              <w:top w:val="single" w:color="000000" w:sz="4" w:space="0"/>
              <w:left w:val="single" w:color="000000" w:sz="4" w:space="0"/>
              <w:bottom w:val="single" w:color="000000" w:sz="4" w:space="0"/>
              <w:right w:val="single" w:color="000000" w:sz="4" w:space="0"/>
            </w:tcBorders>
            <w:noWrap w:val="0"/>
            <w:vAlign w:val="center"/>
          </w:tcPr>
          <w:p w14:paraId="7B72D8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点型感烟火灾探测器应有10%但不少于50只备品。</w:t>
            </w:r>
          </w:p>
        </w:tc>
        <w:tc>
          <w:tcPr>
            <w:tcW w:w="1078" w:type="dxa"/>
            <w:vMerge w:val="restart"/>
            <w:tcBorders>
              <w:top w:val="single" w:color="000000" w:sz="4" w:space="0"/>
              <w:left w:val="single" w:color="000000" w:sz="4" w:space="0"/>
              <w:bottom w:val="single" w:color="000000" w:sz="4" w:space="0"/>
              <w:right w:val="single" w:color="000000" w:sz="4" w:space="0"/>
            </w:tcBorders>
            <w:noWrap w:val="0"/>
            <w:vAlign w:val="center"/>
          </w:tcPr>
          <w:p w14:paraId="34A800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3324E5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点型感烟火灾探测器清洗应采用专业工业设备清洗传感部件及线路板，清洗后应标定探测器的响应阈值，响应阈值应在生产企业或出厂检验规定的响应阈值范围内；</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0C0AC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三年</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3FF07ADE">
            <w:pPr>
              <w:rPr>
                <w:rFonts w:hint="eastAsia" w:ascii="宋体" w:hAnsi="宋体" w:eastAsia="宋体" w:cs="宋体"/>
                <w:i w:val="0"/>
                <w:iCs w:val="0"/>
                <w:color w:val="000000"/>
                <w:sz w:val="20"/>
                <w:szCs w:val="20"/>
                <w:u w:val="none"/>
              </w:rPr>
            </w:pPr>
          </w:p>
        </w:tc>
      </w:tr>
      <w:tr w14:paraId="1A5DA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87120E">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51AC44">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406BED">
            <w:pPr>
              <w:jc w:val="center"/>
              <w:rPr>
                <w:rFonts w:hint="eastAsia" w:ascii="宋体" w:hAnsi="宋体" w:eastAsia="宋体" w:cs="宋体"/>
                <w:i w:val="0"/>
                <w:iCs w:val="0"/>
                <w:color w:val="000000"/>
                <w:sz w:val="20"/>
                <w:szCs w:val="20"/>
                <w:u w:val="none"/>
              </w:rPr>
            </w:pPr>
          </w:p>
        </w:tc>
        <w:tc>
          <w:tcPr>
            <w:tcW w:w="39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E84360">
            <w:pPr>
              <w:jc w:val="left"/>
              <w:rPr>
                <w:rFonts w:hint="eastAsia" w:ascii="宋体" w:hAnsi="宋体" w:eastAsia="宋体" w:cs="宋体"/>
                <w:i w:val="0"/>
                <w:iCs w:val="0"/>
                <w:color w:val="000000"/>
                <w:sz w:val="20"/>
                <w:szCs w:val="20"/>
                <w:u w:val="none"/>
              </w:rPr>
            </w:pPr>
          </w:p>
        </w:tc>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E604CE">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184FB5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点型感烟火灾探测器清洗后应做必要的功能试验，合格者方可继续使用。</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982B1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三年</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7C373C5C">
            <w:pPr>
              <w:rPr>
                <w:rFonts w:hint="eastAsia" w:ascii="宋体" w:hAnsi="宋体" w:eastAsia="宋体" w:cs="宋体"/>
                <w:i w:val="0"/>
                <w:iCs w:val="0"/>
                <w:color w:val="000000"/>
                <w:sz w:val="20"/>
                <w:szCs w:val="20"/>
                <w:u w:val="none"/>
              </w:rPr>
            </w:pPr>
          </w:p>
        </w:tc>
      </w:tr>
      <w:tr w14:paraId="6B68C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12B20E">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7AA0EE">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18DF32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温感</w:t>
            </w:r>
          </w:p>
        </w:tc>
        <w:tc>
          <w:tcPr>
            <w:tcW w:w="3994" w:type="dxa"/>
            <w:vMerge w:val="restart"/>
            <w:tcBorders>
              <w:top w:val="single" w:color="000000" w:sz="4" w:space="0"/>
              <w:left w:val="single" w:color="000000" w:sz="4" w:space="0"/>
              <w:bottom w:val="single" w:color="000000" w:sz="4" w:space="0"/>
              <w:right w:val="single" w:color="000000" w:sz="4" w:space="0"/>
            </w:tcBorders>
            <w:noWrap w:val="0"/>
            <w:vAlign w:val="center"/>
          </w:tcPr>
          <w:p w14:paraId="36B609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检查点型感温火灾探测器工作状态是否正常；</w:t>
            </w:r>
          </w:p>
        </w:tc>
        <w:tc>
          <w:tcPr>
            <w:tcW w:w="1078" w:type="dxa"/>
            <w:vMerge w:val="restart"/>
            <w:tcBorders>
              <w:top w:val="single" w:color="000000" w:sz="4" w:space="0"/>
              <w:left w:val="single" w:color="000000" w:sz="4" w:space="0"/>
              <w:bottom w:val="single" w:color="000000" w:sz="4" w:space="0"/>
              <w:right w:val="single" w:color="000000" w:sz="4" w:space="0"/>
            </w:tcBorders>
            <w:noWrap w:val="0"/>
            <w:vAlign w:val="center"/>
          </w:tcPr>
          <w:p w14:paraId="58155E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58E251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重新紧固连接松动的端子，更换有锈蚀痕迹的螺丝、端子垫片等接线部件，去除有锈蚀的导线端，搪锡后重新连接；</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7E6D500">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175C13C4">
            <w:pPr>
              <w:rPr>
                <w:rFonts w:hint="eastAsia" w:ascii="宋体" w:hAnsi="宋体" w:eastAsia="宋体" w:cs="宋体"/>
                <w:i w:val="0"/>
                <w:iCs w:val="0"/>
                <w:color w:val="000000"/>
                <w:sz w:val="20"/>
                <w:szCs w:val="20"/>
                <w:u w:val="none"/>
              </w:rPr>
            </w:pPr>
          </w:p>
        </w:tc>
      </w:tr>
      <w:tr w14:paraId="512D5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E08CFF">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148F68">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D3B562">
            <w:pPr>
              <w:jc w:val="center"/>
              <w:rPr>
                <w:rFonts w:hint="eastAsia" w:ascii="宋体" w:hAnsi="宋体" w:eastAsia="宋体" w:cs="宋体"/>
                <w:i w:val="0"/>
                <w:iCs w:val="0"/>
                <w:color w:val="000000"/>
                <w:sz w:val="20"/>
                <w:szCs w:val="20"/>
                <w:u w:val="none"/>
              </w:rPr>
            </w:pPr>
          </w:p>
        </w:tc>
        <w:tc>
          <w:tcPr>
            <w:tcW w:w="39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E1B185">
            <w:pPr>
              <w:jc w:val="left"/>
              <w:rPr>
                <w:rFonts w:hint="eastAsia" w:ascii="宋体" w:hAnsi="宋体" w:eastAsia="宋体" w:cs="宋体"/>
                <w:i w:val="0"/>
                <w:iCs w:val="0"/>
                <w:color w:val="000000"/>
                <w:sz w:val="20"/>
                <w:szCs w:val="20"/>
                <w:u w:val="none"/>
              </w:rPr>
            </w:pPr>
          </w:p>
        </w:tc>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86F7B3">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22B146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点型感温火灾探测器投入运行两年后，应每隔三年至少全部清洗一遍，使用环境较差的火灾探测器应每年清洗；</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79162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三年</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27A1FA4E">
            <w:pPr>
              <w:rPr>
                <w:rFonts w:hint="eastAsia" w:ascii="宋体" w:hAnsi="宋体" w:eastAsia="宋体" w:cs="宋体"/>
                <w:i w:val="0"/>
                <w:iCs w:val="0"/>
                <w:color w:val="000000"/>
                <w:sz w:val="20"/>
                <w:szCs w:val="20"/>
                <w:u w:val="none"/>
              </w:rPr>
            </w:pPr>
          </w:p>
        </w:tc>
      </w:tr>
      <w:tr w14:paraId="3AFE7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6B824B">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1C0B24">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852A9E">
            <w:pPr>
              <w:jc w:val="center"/>
              <w:rPr>
                <w:rFonts w:hint="eastAsia" w:ascii="宋体" w:hAnsi="宋体" w:eastAsia="宋体" w:cs="宋体"/>
                <w:i w:val="0"/>
                <w:iCs w:val="0"/>
                <w:color w:val="000000"/>
                <w:sz w:val="20"/>
                <w:szCs w:val="20"/>
                <w:u w:val="none"/>
              </w:rPr>
            </w:pPr>
          </w:p>
        </w:tc>
        <w:tc>
          <w:tcPr>
            <w:tcW w:w="3994" w:type="dxa"/>
            <w:vMerge w:val="restart"/>
            <w:tcBorders>
              <w:top w:val="single" w:color="000000" w:sz="4" w:space="0"/>
              <w:left w:val="single" w:color="000000" w:sz="4" w:space="0"/>
              <w:bottom w:val="single" w:color="000000" w:sz="4" w:space="0"/>
              <w:right w:val="single" w:color="000000" w:sz="4" w:space="0"/>
            </w:tcBorders>
            <w:noWrap w:val="0"/>
            <w:vAlign w:val="center"/>
          </w:tcPr>
          <w:p w14:paraId="7DAE7E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点型感温火灾探测器应有10%的备品。</w:t>
            </w:r>
          </w:p>
        </w:tc>
        <w:tc>
          <w:tcPr>
            <w:tcW w:w="1078" w:type="dxa"/>
            <w:vMerge w:val="restart"/>
            <w:tcBorders>
              <w:top w:val="single" w:color="000000" w:sz="4" w:space="0"/>
              <w:left w:val="single" w:color="000000" w:sz="4" w:space="0"/>
              <w:bottom w:val="single" w:color="000000" w:sz="4" w:space="0"/>
              <w:right w:val="single" w:color="000000" w:sz="4" w:space="0"/>
            </w:tcBorders>
            <w:noWrap w:val="0"/>
            <w:vAlign w:val="center"/>
          </w:tcPr>
          <w:p w14:paraId="66FAF4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2D6021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点型感温火灾探测器清洗应采用专业工业设备清洗传感部件及线路板，清洗后应标定探测器的响应阈值，响应阈值应在生产企业或出厂检验规定的响应阈值范围内；</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B59BBBB">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14F9A85B">
            <w:pPr>
              <w:rPr>
                <w:rFonts w:hint="eastAsia" w:ascii="宋体" w:hAnsi="宋体" w:eastAsia="宋体" w:cs="宋体"/>
                <w:i w:val="0"/>
                <w:iCs w:val="0"/>
                <w:color w:val="000000"/>
                <w:sz w:val="20"/>
                <w:szCs w:val="20"/>
                <w:u w:val="none"/>
              </w:rPr>
            </w:pPr>
          </w:p>
        </w:tc>
      </w:tr>
      <w:tr w14:paraId="4486D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EFD596">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31D0FE">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BAD7F0">
            <w:pPr>
              <w:jc w:val="center"/>
              <w:rPr>
                <w:rFonts w:hint="eastAsia" w:ascii="宋体" w:hAnsi="宋体" w:eastAsia="宋体" w:cs="宋体"/>
                <w:i w:val="0"/>
                <w:iCs w:val="0"/>
                <w:color w:val="000000"/>
                <w:sz w:val="20"/>
                <w:szCs w:val="20"/>
                <w:u w:val="none"/>
              </w:rPr>
            </w:pPr>
          </w:p>
        </w:tc>
        <w:tc>
          <w:tcPr>
            <w:tcW w:w="39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69E03A">
            <w:pPr>
              <w:jc w:val="left"/>
              <w:rPr>
                <w:rFonts w:hint="eastAsia" w:ascii="宋体" w:hAnsi="宋体" w:eastAsia="宋体" w:cs="宋体"/>
                <w:i w:val="0"/>
                <w:iCs w:val="0"/>
                <w:color w:val="000000"/>
                <w:sz w:val="20"/>
                <w:szCs w:val="20"/>
                <w:u w:val="none"/>
              </w:rPr>
            </w:pPr>
          </w:p>
        </w:tc>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917700">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57572B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点型感温火灾探测器清洗后应做必要的功能试验，合格者方可继续使用。</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AD1B0B4">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1D135B10">
            <w:pPr>
              <w:rPr>
                <w:rFonts w:hint="eastAsia" w:ascii="宋体" w:hAnsi="宋体" w:eastAsia="宋体" w:cs="宋体"/>
                <w:i w:val="0"/>
                <w:iCs w:val="0"/>
                <w:color w:val="000000"/>
                <w:sz w:val="20"/>
                <w:szCs w:val="20"/>
                <w:u w:val="none"/>
              </w:rPr>
            </w:pPr>
          </w:p>
        </w:tc>
      </w:tr>
      <w:tr w14:paraId="5BC36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1061B8">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6BF1A9">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346AA0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手动报警按钮</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4602F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检查手动部件按钮工作状态是否正常；</w:t>
            </w:r>
          </w:p>
        </w:tc>
        <w:tc>
          <w:tcPr>
            <w:tcW w:w="1078" w:type="dxa"/>
            <w:vMerge w:val="restart"/>
            <w:tcBorders>
              <w:top w:val="single" w:color="000000" w:sz="4" w:space="0"/>
              <w:left w:val="single" w:color="000000" w:sz="4" w:space="0"/>
              <w:bottom w:val="single" w:color="000000" w:sz="4" w:space="0"/>
              <w:right w:val="single" w:color="000000" w:sz="4" w:space="0"/>
            </w:tcBorders>
            <w:noWrap w:val="0"/>
            <w:vAlign w:val="center"/>
          </w:tcPr>
          <w:p w14:paraId="7E3AC2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4F38B7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重新紧固设备连接松动的端子，更换有锈蚀痕迹的螺丝、端子垫片等接线部件，去除有锈蚀的导线端，搪锡后重新连接；</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9EEC180">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600AC32F">
            <w:pPr>
              <w:rPr>
                <w:rFonts w:hint="eastAsia" w:ascii="宋体" w:hAnsi="宋体" w:eastAsia="宋体" w:cs="宋体"/>
                <w:i w:val="0"/>
                <w:iCs w:val="0"/>
                <w:color w:val="000000"/>
                <w:sz w:val="20"/>
                <w:szCs w:val="20"/>
                <w:u w:val="none"/>
              </w:rPr>
            </w:pPr>
          </w:p>
        </w:tc>
      </w:tr>
      <w:tr w14:paraId="127D6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03B9C8">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15EE56">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10DC91">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09DBB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检查手动部件按钮报警触点及机械报警部件的功能。</w:t>
            </w:r>
          </w:p>
        </w:tc>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BA3D96">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39D80A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消除部件故障，确保设备操作灵活，功能正常。</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36EA666">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79FE83BC">
            <w:pPr>
              <w:rPr>
                <w:rFonts w:hint="eastAsia" w:ascii="宋体" w:hAnsi="宋体" w:eastAsia="宋体" w:cs="宋体"/>
                <w:i w:val="0"/>
                <w:iCs w:val="0"/>
                <w:color w:val="000000"/>
                <w:sz w:val="20"/>
                <w:szCs w:val="20"/>
                <w:u w:val="none"/>
              </w:rPr>
            </w:pPr>
          </w:p>
        </w:tc>
      </w:tr>
      <w:tr w14:paraId="3DC9C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A66A2E">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41983D">
            <w:pPr>
              <w:jc w:val="center"/>
              <w:rPr>
                <w:rFonts w:hint="eastAsia" w:ascii="宋体" w:hAnsi="宋体" w:eastAsia="宋体" w:cs="宋体"/>
                <w:i w:val="0"/>
                <w:iCs w:val="0"/>
                <w:color w:val="000000"/>
                <w:sz w:val="20"/>
                <w:szCs w:val="20"/>
                <w:u w:val="none"/>
              </w:rPr>
            </w:pP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1BCE9C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模块</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D62EB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检查模块类设备工作状态是否正常。</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81018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3469C8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重新紧固设备连接松动的端子，更换有锈蚀痕迹的螺丝、端子垫片等接线部件，去除有锈蚀的导线端，搪锡后重新连接。</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54EA023">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434E5A72">
            <w:pPr>
              <w:rPr>
                <w:rFonts w:hint="eastAsia" w:ascii="宋体" w:hAnsi="宋体" w:eastAsia="宋体" w:cs="宋体"/>
                <w:i w:val="0"/>
                <w:iCs w:val="0"/>
                <w:color w:val="000000"/>
                <w:sz w:val="20"/>
                <w:szCs w:val="20"/>
                <w:u w:val="none"/>
              </w:rPr>
            </w:pPr>
          </w:p>
        </w:tc>
      </w:tr>
      <w:tr w14:paraId="16BC6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EAB2EB">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3E7D50">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7F28F5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声光报警</w:t>
            </w:r>
          </w:p>
        </w:tc>
        <w:tc>
          <w:tcPr>
            <w:tcW w:w="3994" w:type="dxa"/>
            <w:vMerge w:val="restart"/>
            <w:tcBorders>
              <w:top w:val="single" w:color="000000" w:sz="4" w:space="0"/>
              <w:left w:val="single" w:color="000000" w:sz="4" w:space="0"/>
              <w:bottom w:val="single" w:color="000000" w:sz="4" w:space="0"/>
              <w:right w:val="single" w:color="000000" w:sz="4" w:space="0"/>
            </w:tcBorders>
            <w:noWrap w:val="0"/>
            <w:vAlign w:val="center"/>
          </w:tcPr>
          <w:p w14:paraId="66987C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检查声光报警类设备工作状态是否正常。</w:t>
            </w:r>
          </w:p>
        </w:tc>
        <w:tc>
          <w:tcPr>
            <w:tcW w:w="1078" w:type="dxa"/>
            <w:vMerge w:val="restart"/>
            <w:tcBorders>
              <w:top w:val="single" w:color="000000" w:sz="4" w:space="0"/>
              <w:left w:val="single" w:color="000000" w:sz="4" w:space="0"/>
              <w:bottom w:val="single" w:color="000000" w:sz="4" w:space="0"/>
              <w:right w:val="single" w:color="000000" w:sz="4" w:space="0"/>
            </w:tcBorders>
            <w:noWrap w:val="0"/>
            <w:vAlign w:val="center"/>
          </w:tcPr>
          <w:p w14:paraId="080F5E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4312AE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对设备连接松动的端子重新紧固连接，更换有锈蚀痕迹的螺丝、端子垫片等接线部件，去除有锈蚀的导线端，搪锡后重新连接；</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07779EB">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2E3BA050">
            <w:pPr>
              <w:rPr>
                <w:rFonts w:hint="eastAsia" w:ascii="宋体" w:hAnsi="宋体" w:eastAsia="宋体" w:cs="宋体"/>
                <w:i w:val="0"/>
                <w:iCs w:val="0"/>
                <w:color w:val="000000"/>
                <w:sz w:val="20"/>
                <w:szCs w:val="20"/>
                <w:u w:val="none"/>
              </w:rPr>
            </w:pPr>
          </w:p>
        </w:tc>
      </w:tr>
      <w:tr w14:paraId="47867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112282">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2CE25E">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75C43D">
            <w:pPr>
              <w:jc w:val="center"/>
              <w:rPr>
                <w:rFonts w:hint="eastAsia" w:ascii="宋体" w:hAnsi="宋体" w:eastAsia="宋体" w:cs="宋体"/>
                <w:i w:val="0"/>
                <w:iCs w:val="0"/>
                <w:color w:val="000000"/>
                <w:sz w:val="20"/>
                <w:szCs w:val="20"/>
                <w:u w:val="none"/>
              </w:rPr>
            </w:pPr>
          </w:p>
        </w:tc>
        <w:tc>
          <w:tcPr>
            <w:tcW w:w="39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0E9FE7">
            <w:pPr>
              <w:jc w:val="left"/>
              <w:rPr>
                <w:rFonts w:hint="eastAsia" w:ascii="宋体" w:hAnsi="宋体" w:eastAsia="宋体" w:cs="宋体"/>
                <w:i w:val="0"/>
                <w:iCs w:val="0"/>
                <w:color w:val="000000"/>
                <w:sz w:val="20"/>
                <w:szCs w:val="20"/>
                <w:u w:val="none"/>
              </w:rPr>
            </w:pPr>
          </w:p>
        </w:tc>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8F2163">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390645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采用专用清洁工具或软布及适当的清洁剂清洗声光报警类设备表面污渍。</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196E4F6">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4BC80B2F">
            <w:pPr>
              <w:rPr>
                <w:rFonts w:hint="eastAsia" w:ascii="宋体" w:hAnsi="宋体" w:eastAsia="宋体" w:cs="宋体"/>
                <w:i w:val="0"/>
                <w:iCs w:val="0"/>
                <w:color w:val="000000"/>
                <w:sz w:val="20"/>
                <w:szCs w:val="20"/>
                <w:u w:val="none"/>
              </w:rPr>
            </w:pPr>
          </w:p>
        </w:tc>
      </w:tr>
      <w:tr w14:paraId="7CA06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73191C">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827BD3">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7DB96F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电池</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0290D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检查火灾自动报警系统的备用蓄电池，不应有变形鼓胀现象；</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9C24C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2D1392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清除电池极柱周围可能出现的黄白色糊状物</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DF6317E">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4051FF3">
            <w:pPr>
              <w:rPr>
                <w:rFonts w:hint="eastAsia" w:ascii="宋体" w:hAnsi="宋体" w:eastAsia="宋体" w:cs="宋体"/>
                <w:i w:val="0"/>
                <w:iCs w:val="0"/>
                <w:color w:val="000000"/>
                <w:sz w:val="20"/>
                <w:szCs w:val="20"/>
                <w:u w:val="none"/>
              </w:rPr>
            </w:pPr>
          </w:p>
        </w:tc>
      </w:tr>
      <w:tr w14:paraId="792B1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B9569B">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7B27FB">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DC6274">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5D262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对消防电源进行主备电切换测试，记录备电在标准负载下的持续工作时间，检查备用蓄电池电量状态是否正常；</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99036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0BCA0A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更换电量状态不正常的备用蓄电池</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AB78402">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04960021">
            <w:pPr>
              <w:rPr>
                <w:rFonts w:hint="eastAsia" w:ascii="宋体" w:hAnsi="宋体" w:eastAsia="宋体" w:cs="宋体"/>
                <w:i w:val="0"/>
                <w:iCs w:val="0"/>
                <w:color w:val="000000"/>
                <w:sz w:val="20"/>
                <w:szCs w:val="20"/>
                <w:u w:val="none"/>
              </w:rPr>
            </w:pPr>
          </w:p>
        </w:tc>
      </w:tr>
      <w:tr w14:paraId="49551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00BD80">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6DB095">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CD90C3">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4B27F6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检查电池极柱和接线头，连接应可靠，外观应有金属光泽。</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B2613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0DAAC5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在电池接线柱上涂抹凡士林等保护剂防止氧化</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96EF0C4">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21ADFF3C">
            <w:pPr>
              <w:rPr>
                <w:rFonts w:hint="eastAsia" w:ascii="宋体" w:hAnsi="宋体" w:eastAsia="宋体" w:cs="宋体"/>
                <w:i w:val="0"/>
                <w:iCs w:val="0"/>
                <w:color w:val="000000"/>
                <w:sz w:val="20"/>
                <w:szCs w:val="20"/>
                <w:u w:val="none"/>
              </w:rPr>
            </w:pPr>
          </w:p>
        </w:tc>
      </w:tr>
      <w:tr w14:paraId="3B358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3B05D7">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89059A">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0B74A6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消防控制室图形显示装置</w:t>
            </w:r>
          </w:p>
        </w:tc>
        <w:tc>
          <w:tcPr>
            <w:tcW w:w="3994" w:type="dxa"/>
            <w:vMerge w:val="restart"/>
            <w:tcBorders>
              <w:top w:val="single" w:color="000000" w:sz="4" w:space="0"/>
              <w:left w:val="single" w:color="000000" w:sz="4" w:space="0"/>
              <w:bottom w:val="single" w:color="000000" w:sz="4" w:space="0"/>
              <w:right w:val="single" w:color="000000" w:sz="4" w:space="0"/>
            </w:tcBorders>
            <w:noWrap w:val="0"/>
            <w:vAlign w:val="center"/>
          </w:tcPr>
          <w:p w14:paraId="2D2D26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检查图形显示装置外观及功能。</w:t>
            </w:r>
          </w:p>
        </w:tc>
        <w:tc>
          <w:tcPr>
            <w:tcW w:w="1078" w:type="dxa"/>
            <w:vMerge w:val="restart"/>
            <w:tcBorders>
              <w:top w:val="single" w:color="000000" w:sz="4" w:space="0"/>
              <w:left w:val="single" w:color="000000" w:sz="4" w:space="0"/>
              <w:bottom w:val="single" w:color="000000" w:sz="4" w:space="0"/>
              <w:right w:val="single" w:color="000000" w:sz="4" w:space="0"/>
            </w:tcBorders>
            <w:noWrap w:val="0"/>
            <w:vAlign w:val="center"/>
          </w:tcPr>
          <w:p w14:paraId="15F8F1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0A6875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采用专用清洁工具或软布及适当的清洁剂清洁图形显示装置表面污渍</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B189A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474E37A6">
            <w:pPr>
              <w:rPr>
                <w:rFonts w:hint="eastAsia" w:ascii="宋体" w:hAnsi="宋体" w:eastAsia="宋体" w:cs="宋体"/>
                <w:i w:val="0"/>
                <w:iCs w:val="0"/>
                <w:color w:val="000000"/>
                <w:sz w:val="20"/>
                <w:szCs w:val="20"/>
                <w:u w:val="none"/>
              </w:rPr>
            </w:pPr>
          </w:p>
        </w:tc>
      </w:tr>
      <w:tr w14:paraId="4A3C1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A03B66">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D937EC">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CD152C">
            <w:pPr>
              <w:jc w:val="center"/>
              <w:rPr>
                <w:rFonts w:hint="eastAsia" w:ascii="宋体" w:hAnsi="宋体" w:eastAsia="宋体" w:cs="宋体"/>
                <w:i w:val="0"/>
                <w:iCs w:val="0"/>
                <w:color w:val="000000"/>
                <w:sz w:val="20"/>
                <w:szCs w:val="20"/>
                <w:u w:val="none"/>
              </w:rPr>
            </w:pPr>
          </w:p>
        </w:tc>
        <w:tc>
          <w:tcPr>
            <w:tcW w:w="39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386736">
            <w:pPr>
              <w:jc w:val="left"/>
              <w:rPr>
                <w:rFonts w:hint="eastAsia" w:ascii="宋体" w:hAnsi="宋体" w:eastAsia="宋体" w:cs="宋体"/>
                <w:i w:val="0"/>
                <w:iCs w:val="0"/>
                <w:color w:val="000000"/>
                <w:sz w:val="20"/>
                <w:szCs w:val="20"/>
                <w:u w:val="none"/>
              </w:rPr>
            </w:pPr>
          </w:p>
        </w:tc>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4CEA91">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109CBF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采用压缩空气、清洁工具等清洁装置箱体内灰尘</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94D82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2F408E1B">
            <w:pPr>
              <w:rPr>
                <w:rFonts w:hint="eastAsia" w:ascii="宋体" w:hAnsi="宋体" w:eastAsia="宋体" w:cs="宋体"/>
                <w:i w:val="0"/>
                <w:iCs w:val="0"/>
                <w:color w:val="000000"/>
                <w:sz w:val="20"/>
                <w:szCs w:val="20"/>
                <w:u w:val="none"/>
              </w:rPr>
            </w:pPr>
          </w:p>
        </w:tc>
      </w:tr>
      <w:tr w14:paraId="19CE0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49056A">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6D4FD1">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1FC8E9">
            <w:pPr>
              <w:jc w:val="center"/>
              <w:rPr>
                <w:rFonts w:hint="eastAsia" w:ascii="宋体" w:hAnsi="宋体" w:eastAsia="宋体" w:cs="宋体"/>
                <w:i w:val="0"/>
                <w:iCs w:val="0"/>
                <w:color w:val="000000"/>
                <w:sz w:val="20"/>
                <w:szCs w:val="20"/>
                <w:u w:val="none"/>
              </w:rPr>
            </w:pPr>
          </w:p>
        </w:tc>
        <w:tc>
          <w:tcPr>
            <w:tcW w:w="39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50814A">
            <w:pPr>
              <w:jc w:val="left"/>
              <w:rPr>
                <w:rFonts w:hint="eastAsia" w:ascii="宋体" w:hAnsi="宋体" w:eastAsia="宋体" w:cs="宋体"/>
                <w:i w:val="0"/>
                <w:iCs w:val="0"/>
                <w:color w:val="000000"/>
                <w:sz w:val="20"/>
                <w:szCs w:val="20"/>
                <w:u w:val="none"/>
              </w:rPr>
            </w:pPr>
          </w:p>
        </w:tc>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E92995">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170E3F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对图形显示装置的软件进行备份</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06C30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每半年</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60CB94E6">
            <w:pPr>
              <w:rPr>
                <w:rFonts w:hint="eastAsia" w:ascii="宋体" w:hAnsi="宋体" w:eastAsia="宋体" w:cs="宋体"/>
                <w:i w:val="0"/>
                <w:iCs w:val="0"/>
                <w:color w:val="000000"/>
                <w:sz w:val="20"/>
                <w:szCs w:val="20"/>
                <w:u w:val="none"/>
              </w:rPr>
            </w:pPr>
          </w:p>
        </w:tc>
      </w:tr>
      <w:tr w14:paraId="67526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restart"/>
            <w:tcBorders>
              <w:top w:val="single" w:color="000000" w:sz="4" w:space="0"/>
              <w:left w:val="single" w:color="000000" w:sz="4" w:space="0"/>
              <w:bottom w:val="single" w:color="000000" w:sz="4" w:space="0"/>
              <w:right w:val="single" w:color="000000" w:sz="4" w:space="0"/>
            </w:tcBorders>
            <w:noWrap w:val="0"/>
            <w:vAlign w:val="center"/>
          </w:tcPr>
          <w:p w14:paraId="731C0A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41" w:type="dxa"/>
            <w:vMerge w:val="restart"/>
            <w:tcBorders>
              <w:top w:val="single" w:color="000000" w:sz="4" w:space="0"/>
              <w:left w:val="single" w:color="000000" w:sz="4" w:space="0"/>
              <w:bottom w:val="single" w:color="000000" w:sz="4" w:space="0"/>
              <w:right w:val="single" w:color="000000" w:sz="4" w:space="0"/>
            </w:tcBorders>
            <w:noWrap w:val="0"/>
            <w:vAlign w:val="center"/>
          </w:tcPr>
          <w:p w14:paraId="306C5A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消防给水及消火栓系统</w:t>
            </w: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267BDF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消防水池水箱</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A344E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最低气温低于5℃前，检查消防水池、水箱的保温、采暖或局部加热措施；</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477EF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按要求</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556DB0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最低气温低于5℃前，应修补缺损的保温材料，检修采暖或局部加热设施；</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A1434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按要求</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87D508D">
            <w:pPr>
              <w:rPr>
                <w:rFonts w:hint="eastAsia" w:ascii="宋体" w:hAnsi="宋体" w:eastAsia="宋体" w:cs="宋体"/>
                <w:i w:val="0"/>
                <w:iCs w:val="0"/>
                <w:color w:val="000000"/>
                <w:sz w:val="20"/>
                <w:szCs w:val="20"/>
                <w:u w:val="none"/>
              </w:rPr>
            </w:pPr>
          </w:p>
        </w:tc>
      </w:tr>
      <w:tr w14:paraId="30B6D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D7E261">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E04489">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1D96CC">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AE5B3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开启水位计两端的角阀，检查消防水池、高位消防水池、高位消防水箱等消防水源设施的水位，应符合设计要求；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E9769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2882F0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应使用扭力扳手均匀紧固全部法兰、防水套管螺栓，并在外露螺纹处施涂少量润滑脂保护；</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7EDF9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2AA5E654">
            <w:pPr>
              <w:rPr>
                <w:rFonts w:hint="eastAsia" w:ascii="宋体" w:hAnsi="宋体" w:eastAsia="宋体" w:cs="宋体"/>
                <w:i w:val="0"/>
                <w:iCs w:val="0"/>
                <w:color w:val="000000"/>
                <w:sz w:val="20"/>
                <w:szCs w:val="20"/>
                <w:u w:val="none"/>
              </w:rPr>
            </w:pPr>
          </w:p>
        </w:tc>
      </w:tr>
      <w:tr w14:paraId="3569D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E7025F">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70CF9D">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7FB1D6">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93787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检查消防用水不作他用的措施；</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89404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41F740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应泄空消防水箱储水，在符合密闭空间作业安全的条件下进行1次全面清理，包括水箱内壁、吸水喇叭口、溢流口、排水口、通气口等，焊接钢板水箱应除锈补漆，组装水箱应使用扭力扳手均匀紧固全部螺栓；</w:t>
            </w:r>
          </w:p>
        </w:tc>
        <w:tc>
          <w:tcPr>
            <w:tcW w:w="1050" w:type="dxa"/>
            <w:vMerge w:val="restart"/>
            <w:tcBorders>
              <w:top w:val="single" w:color="000000" w:sz="4" w:space="0"/>
              <w:left w:val="single" w:color="000000" w:sz="4" w:space="0"/>
              <w:bottom w:val="single" w:color="000000" w:sz="4" w:space="0"/>
              <w:right w:val="single" w:color="000000" w:sz="4" w:space="0"/>
            </w:tcBorders>
            <w:noWrap/>
            <w:vAlign w:val="center"/>
          </w:tcPr>
          <w:p w14:paraId="1F8A62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每三年</w:t>
            </w:r>
          </w:p>
        </w:tc>
        <w:tc>
          <w:tcPr>
            <w:tcW w:w="806" w:type="dxa"/>
            <w:vMerge w:val="restart"/>
            <w:tcBorders>
              <w:top w:val="single" w:color="000000" w:sz="4" w:space="0"/>
              <w:left w:val="single" w:color="000000" w:sz="4" w:space="0"/>
              <w:bottom w:val="single" w:color="000000" w:sz="4" w:space="0"/>
              <w:right w:val="single" w:color="000000" w:sz="4" w:space="0"/>
            </w:tcBorders>
            <w:noWrap/>
            <w:vAlign w:val="center"/>
          </w:tcPr>
          <w:p w14:paraId="27FF8861">
            <w:pPr>
              <w:jc w:val="center"/>
              <w:rPr>
                <w:rFonts w:hint="eastAsia" w:ascii="宋体" w:hAnsi="宋体" w:eastAsia="宋体" w:cs="宋体"/>
                <w:i w:val="0"/>
                <w:iCs w:val="0"/>
                <w:color w:val="000000"/>
                <w:sz w:val="20"/>
                <w:szCs w:val="20"/>
                <w:u w:val="none"/>
              </w:rPr>
            </w:pPr>
          </w:p>
        </w:tc>
      </w:tr>
      <w:tr w14:paraId="0149B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60E9AF">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551C18">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E452DD">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A503A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检查消防水池、高位消防水池、高位消防水箱等供水阀组的功能，应启闭正常；</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5ED6DA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6A02F6">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ign w:val="center"/>
          </w:tcPr>
          <w:p w14:paraId="056509CB">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ign w:val="center"/>
          </w:tcPr>
          <w:p w14:paraId="3E9E5C89">
            <w:pPr>
              <w:jc w:val="center"/>
              <w:rPr>
                <w:rFonts w:hint="eastAsia" w:ascii="宋体" w:hAnsi="宋体" w:eastAsia="宋体" w:cs="宋体"/>
                <w:i w:val="0"/>
                <w:iCs w:val="0"/>
                <w:color w:val="000000"/>
                <w:sz w:val="20"/>
                <w:szCs w:val="20"/>
                <w:u w:val="none"/>
              </w:rPr>
            </w:pPr>
          </w:p>
        </w:tc>
      </w:tr>
      <w:tr w14:paraId="59346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C6B07F">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99145A">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592F73">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44498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检查浮球阀，手动按下浮球阀时应出水，松开后水流完全停止，连续操作2次应正常；</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1C2CFD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21BF1E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应泄空消防水池储水，在符合密闭空间作业安全的条件下进行1次全面清理检查，水池结构材料应完好，清理和检修内壁、吸水喇叭口、溢流口、排水口、通气口等。</w:t>
            </w:r>
          </w:p>
        </w:tc>
        <w:tc>
          <w:tcPr>
            <w:tcW w:w="1050" w:type="dxa"/>
            <w:vMerge w:val="restart"/>
            <w:tcBorders>
              <w:top w:val="single" w:color="000000" w:sz="4" w:space="0"/>
              <w:left w:val="single" w:color="000000" w:sz="4" w:space="0"/>
              <w:bottom w:val="single" w:color="000000" w:sz="4" w:space="0"/>
              <w:right w:val="single" w:color="000000" w:sz="4" w:space="0"/>
            </w:tcBorders>
            <w:noWrap/>
            <w:vAlign w:val="center"/>
          </w:tcPr>
          <w:p w14:paraId="1981C1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每三年</w:t>
            </w:r>
          </w:p>
        </w:tc>
        <w:tc>
          <w:tcPr>
            <w:tcW w:w="806" w:type="dxa"/>
            <w:vMerge w:val="restart"/>
            <w:tcBorders>
              <w:top w:val="single" w:color="000000" w:sz="4" w:space="0"/>
              <w:left w:val="single" w:color="000000" w:sz="4" w:space="0"/>
              <w:bottom w:val="single" w:color="000000" w:sz="4" w:space="0"/>
              <w:right w:val="single" w:color="000000" w:sz="4" w:space="0"/>
            </w:tcBorders>
            <w:noWrap/>
            <w:vAlign w:val="center"/>
          </w:tcPr>
          <w:p w14:paraId="7A55CA04">
            <w:pPr>
              <w:jc w:val="center"/>
              <w:rPr>
                <w:rFonts w:hint="eastAsia" w:ascii="宋体" w:hAnsi="宋体" w:eastAsia="宋体" w:cs="宋体"/>
                <w:i w:val="0"/>
                <w:iCs w:val="0"/>
                <w:color w:val="000000"/>
                <w:sz w:val="20"/>
                <w:szCs w:val="20"/>
                <w:u w:val="none"/>
              </w:rPr>
            </w:pPr>
          </w:p>
        </w:tc>
      </w:tr>
      <w:tr w14:paraId="633A1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9CC275">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916D23">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71C5EF">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937C3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检查与水池、水箱连接的法兰、防水套管的螺栓，不应出现锈蚀和渗漏现象。</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CAA99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D7A899">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ign w:val="center"/>
          </w:tcPr>
          <w:p w14:paraId="7E311702">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ign w:val="center"/>
          </w:tcPr>
          <w:p w14:paraId="568AD925">
            <w:pPr>
              <w:jc w:val="center"/>
              <w:rPr>
                <w:rFonts w:hint="eastAsia" w:ascii="宋体" w:hAnsi="宋体" w:eastAsia="宋体" w:cs="宋体"/>
                <w:i w:val="0"/>
                <w:iCs w:val="0"/>
                <w:color w:val="000000"/>
                <w:sz w:val="20"/>
                <w:szCs w:val="20"/>
                <w:u w:val="none"/>
              </w:rPr>
            </w:pPr>
          </w:p>
        </w:tc>
      </w:tr>
      <w:tr w14:paraId="3F48E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7ABAE6">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034A98">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727DAC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消防水泵</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6D3CC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检查泵房通风、散热情况，最低气温低于5℃前应检查泵房的保温措施；</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46D33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每日</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406162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清理消防水泵外壳及空气滤清器表面的油渍、水和尘埃，擦净或用压缩空气吹净发电机、散热器、风扇等表面尘埃；</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B7154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每周</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915ADC8">
            <w:pPr>
              <w:rPr>
                <w:rFonts w:hint="eastAsia" w:ascii="宋体" w:hAnsi="宋体" w:eastAsia="宋体" w:cs="宋体"/>
                <w:i w:val="0"/>
                <w:iCs w:val="0"/>
                <w:color w:val="000000"/>
                <w:sz w:val="20"/>
                <w:szCs w:val="20"/>
                <w:u w:val="none"/>
              </w:rPr>
            </w:pPr>
          </w:p>
        </w:tc>
      </w:tr>
      <w:tr w14:paraId="51217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ED45CB">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BE36F3">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E92851">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C069E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检查消防水泵散热，进风口、出风口应保持畅通，消防水泵及其配电柜、控制柜周围1.0m内不应存在可能造成操作障碍的物品或可燃物；</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4D6B5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每日</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32073B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清洁柴油机及附属设备表面，用干布或浸柴油的抹布擦去机身、气缸盖罩等可见表面油渍，清除泵体表面污渍、锈蚀，磨光锈蚀面后再涂漆；</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B2B83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195B438C">
            <w:pPr>
              <w:rPr>
                <w:rFonts w:hint="eastAsia" w:ascii="宋体" w:hAnsi="宋体" w:eastAsia="宋体" w:cs="宋体"/>
                <w:i w:val="0"/>
                <w:iCs w:val="0"/>
                <w:color w:val="000000"/>
                <w:sz w:val="20"/>
                <w:szCs w:val="20"/>
                <w:u w:val="none"/>
              </w:rPr>
            </w:pPr>
          </w:p>
        </w:tc>
      </w:tr>
      <w:tr w14:paraId="3354A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989F5D">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3DBFB0">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A543EB">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ACE01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检查柴油机泵贮油箱油量，不应少于油箱容量的3/4，曲轴箱内机油油位不少于最高油位的1/2，蓄电池的电解液不少于最高液位的1/2；</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17FEA0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每日</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0B3BAB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按照产品说明书向消防水泵加油口加注适量的润滑油脂；</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54C65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D0FF38A">
            <w:pPr>
              <w:rPr>
                <w:rFonts w:hint="eastAsia" w:ascii="宋体" w:hAnsi="宋体" w:eastAsia="宋体" w:cs="宋体"/>
                <w:i w:val="0"/>
                <w:iCs w:val="0"/>
                <w:color w:val="000000"/>
                <w:sz w:val="20"/>
                <w:szCs w:val="20"/>
                <w:u w:val="none"/>
              </w:rPr>
            </w:pPr>
          </w:p>
        </w:tc>
      </w:tr>
      <w:tr w14:paraId="14D62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17246C">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8D3966">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B29583">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4E7FB9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检查消防水泵、稳压水泵的文字、方向等标识，不应缺损；</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42DB02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0FC336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检查柴油机泵各部件机油平面，如未达到机油标尺上的刻线标记，应补充规定型号的机油，但不应超过标尺刻线的上限；</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479C89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4C9B0B80">
            <w:pPr>
              <w:jc w:val="center"/>
              <w:rPr>
                <w:rFonts w:hint="eastAsia" w:ascii="宋体" w:hAnsi="宋体" w:eastAsia="宋体" w:cs="宋体"/>
                <w:i w:val="0"/>
                <w:iCs w:val="0"/>
                <w:color w:val="000000"/>
                <w:sz w:val="20"/>
                <w:szCs w:val="20"/>
                <w:u w:val="none"/>
              </w:rPr>
            </w:pPr>
          </w:p>
        </w:tc>
      </w:tr>
      <w:tr w14:paraId="74A9B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8E7114">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840C6A">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83EA0D">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272C8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模拟电动机泵自动控制的条件，自动启动消防水泵运转1 次，并在各主备泵间做1次轮换，自动巡检的系统应检查自动巡检记录情况，自动控制及主备泵的轮换启动功能应正常；</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12A8C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每周</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D15FA8">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0E1AC5">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D0492B">
            <w:pPr>
              <w:jc w:val="center"/>
              <w:rPr>
                <w:rFonts w:hint="eastAsia" w:ascii="宋体" w:hAnsi="宋体" w:eastAsia="宋体" w:cs="宋体"/>
                <w:i w:val="0"/>
                <w:iCs w:val="0"/>
                <w:color w:val="000000"/>
                <w:sz w:val="20"/>
                <w:szCs w:val="20"/>
                <w:u w:val="none"/>
              </w:rPr>
            </w:pPr>
          </w:p>
        </w:tc>
      </w:tr>
      <w:tr w14:paraId="240C6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EC50EE">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1C0F37">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6ED6DC">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40FD46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在确定泵组控制装置在非自动启动状态下，手动盘动电机转轴，不应出现卡阻现象；轴封处渗漏量小于3滴/min；</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73D4C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22724F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检查柴油机泵冷却水液面，冷却水不足应补充按说明书要求的冷却水；</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7B4E36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3272F1FA">
            <w:pPr>
              <w:jc w:val="center"/>
              <w:rPr>
                <w:rFonts w:hint="eastAsia" w:ascii="宋体" w:hAnsi="宋体" w:eastAsia="宋体" w:cs="宋体"/>
                <w:i w:val="0"/>
                <w:iCs w:val="0"/>
                <w:color w:val="000000"/>
                <w:sz w:val="20"/>
                <w:szCs w:val="20"/>
                <w:u w:val="none"/>
              </w:rPr>
            </w:pPr>
          </w:p>
        </w:tc>
      </w:tr>
      <w:tr w14:paraId="1C4FD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0018EF">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0F20BF">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8C73C6">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C10F6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检查电动机泵供电电源，通过试验回流装置手动启泵运转1 次，在额定工况下连续运行时间不应少于5min，运行5min 时的轴承座外表面温度不应超过70℃，温升不应超过35℃，检查泵轴密封，不应出现线状滴漏；</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54393C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BA16E5">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1003B4">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31AACC">
            <w:pPr>
              <w:jc w:val="center"/>
              <w:rPr>
                <w:rFonts w:hint="eastAsia" w:ascii="宋体" w:hAnsi="宋体" w:eastAsia="宋体" w:cs="宋体"/>
                <w:i w:val="0"/>
                <w:iCs w:val="0"/>
                <w:color w:val="000000"/>
                <w:sz w:val="20"/>
                <w:szCs w:val="20"/>
                <w:u w:val="none"/>
              </w:rPr>
            </w:pPr>
          </w:p>
        </w:tc>
      </w:tr>
      <w:tr w14:paraId="1F51F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691E9C">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81E55E">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8C55D7">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7906C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手动启动柴油机泵1次，在额定工况下连续运行时间不应少于5min，运行5min 时的轴承座外表面温度不应超过70℃，温升不应超过35℃，检查泵轴密封，不应出现线状滴漏；</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511F67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0D8BB8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清理柴油机泵蓄电池表面、极柱、电池固定卡等，清理后的极柱应露出金属光泽，紧固线卡，确保与极柱结合密实，并涂凡士林保护；</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1C098F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05E06BBA">
            <w:pPr>
              <w:jc w:val="center"/>
              <w:rPr>
                <w:rFonts w:hint="eastAsia" w:ascii="宋体" w:hAnsi="宋体" w:eastAsia="宋体" w:cs="宋体"/>
                <w:i w:val="0"/>
                <w:iCs w:val="0"/>
                <w:color w:val="000000"/>
                <w:sz w:val="20"/>
                <w:szCs w:val="20"/>
                <w:u w:val="none"/>
              </w:rPr>
            </w:pPr>
          </w:p>
        </w:tc>
      </w:tr>
      <w:tr w14:paraId="029F6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C14FEB">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ADBD2F">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1EAC6D">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DA57B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对照设计校核消防水泵在零流量、额定流量、1.5倍额定流量工况下的扬程，应满足设计要求；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FA1E1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3F9D99">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BF2D23">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501E92">
            <w:pPr>
              <w:jc w:val="center"/>
              <w:rPr>
                <w:rFonts w:hint="eastAsia" w:ascii="宋体" w:hAnsi="宋体" w:eastAsia="宋体" w:cs="宋体"/>
                <w:i w:val="0"/>
                <w:iCs w:val="0"/>
                <w:color w:val="000000"/>
                <w:sz w:val="20"/>
                <w:szCs w:val="20"/>
                <w:u w:val="none"/>
              </w:rPr>
            </w:pPr>
          </w:p>
        </w:tc>
      </w:tr>
      <w:tr w14:paraId="2A466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43A63C">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96AAC2">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EA37D5">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F562C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检查柴油机及附属设备外观，应无表面污渍、无锈蚀；</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1C61C2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71C60F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检查并紧固地脚螺栓、固定螺栓及各转动部件的连接螺栓等，必要时施涂润滑油脂；</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35D589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1F1E909D">
            <w:pPr>
              <w:jc w:val="center"/>
              <w:rPr>
                <w:rFonts w:hint="eastAsia" w:ascii="宋体" w:hAnsi="宋体" w:eastAsia="宋体" w:cs="宋体"/>
                <w:i w:val="0"/>
                <w:iCs w:val="0"/>
                <w:color w:val="000000"/>
                <w:sz w:val="20"/>
                <w:szCs w:val="20"/>
                <w:u w:val="none"/>
              </w:rPr>
            </w:pPr>
          </w:p>
        </w:tc>
      </w:tr>
      <w:tr w14:paraId="1A54B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A28DEE">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9195D9">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1C26D9">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7B8AB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按照产品说明书检查消防水泵的润滑油脂量，应符合说明书要求；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4223C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A4E6A4">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57B37C">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16D106">
            <w:pPr>
              <w:jc w:val="center"/>
              <w:rPr>
                <w:rFonts w:hint="eastAsia" w:ascii="宋体" w:hAnsi="宋体" w:eastAsia="宋体" w:cs="宋体"/>
                <w:i w:val="0"/>
                <w:iCs w:val="0"/>
                <w:color w:val="000000"/>
                <w:sz w:val="20"/>
                <w:szCs w:val="20"/>
                <w:u w:val="none"/>
              </w:rPr>
            </w:pPr>
          </w:p>
        </w:tc>
      </w:tr>
      <w:tr w14:paraId="3D80C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8504F2">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FCF67F">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A89CB5">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B93D3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检查柴油机泵机油标尺上的刻线标记，应满足产品说明书要求；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F02A1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461816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柴油机泵应按说明书要求做好一、二、三级维护保养。</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6DC380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按要求</w:t>
            </w: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0DA5875B">
            <w:pPr>
              <w:jc w:val="center"/>
              <w:rPr>
                <w:rFonts w:hint="eastAsia" w:ascii="宋体" w:hAnsi="宋体" w:eastAsia="宋体" w:cs="宋体"/>
                <w:i w:val="0"/>
                <w:iCs w:val="0"/>
                <w:color w:val="000000"/>
                <w:sz w:val="20"/>
                <w:szCs w:val="20"/>
                <w:u w:val="none"/>
              </w:rPr>
            </w:pPr>
          </w:p>
        </w:tc>
      </w:tr>
      <w:tr w14:paraId="6AE6B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F787B6">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A465B4">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EF7984">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51B19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检查柴油机消音器及排气管道，应无积碳。</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1B92E5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57EA6C">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A0C1EC">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B531DA">
            <w:pPr>
              <w:jc w:val="center"/>
              <w:rPr>
                <w:rFonts w:hint="eastAsia" w:ascii="宋体" w:hAnsi="宋体" w:eastAsia="宋体" w:cs="宋体"/>
                <w:i w:val="0"/>
                <w:iCs w:val="0"/>
                <w:color w:val="000000"/>
                <w:sz w:val="20"/>
                <w:szCs w:val="20"/>
                <w:u w:val="none"/>
              </w:rPr>
            </w:pPr>
          </w:p>
        </w:tc>
      </w:tr>
      <w:tr w14:paraId="18EA9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50F5F0">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338DEA">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58F50B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气压给水装置</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006C1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检查气压水罐外观，应完好；</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61F06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5F47DF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清洁气压水罐外观，必要时除锈、补漆；</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B001A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7ADFAC1E">
            <w:pPr>
              <w:rPr>
                <w:rFonts w:hint="eastAsia" w:ascii="宋体" w:hAnsi="宋体" w:eastAsia="宋体" w:cs="宋体"/>
                <w:i w:val="0"/>
                <w:iCs w:val="0"/>
                <w:color w:val="000000"/>
                <w:sz w:val="20"/>
                <w:szCs w:val="20"/>
                <w:u w:val="none"/>
              </w:rPr>
            </w:pPr>
          </w:p>
        </w:tc>
      </w:tr>
      <w:tr w14:paraId="19175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49BA5D">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057C70">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7E1267">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D94AE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检查稳压泵的停泵、启泵压力和启泵次数等运行情况，应正常；</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E7847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每日</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4BF569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稳压泵的停泵、启泵压力和每小时启泵次数异常时，应检查止回阀及系统异常泄漏情况，修复或更换发生泄漏的部件及管段。</w:t>
            </w:r>
          </w:p>
        </w:tc>
        <w:tc>
          <w:tcPr>
            <w:tcW w:w="1050" w:type="dxa"/>
            <w:vMerge w:val="restart"/>
            <w:tcBorders>
              <w:top w:val="single" w:color="000000" w:sz="4" w:space="0"/>
              <w:left w:val="single" w:color="000000" w:sz="4" w:space="0"/>
              <w:bottom w:val="single" w:color="000000" w:sz="4" w:space="0"/>
              <w:right w:val="single" w:color="000000" w:sz="4" w:space="0"/>
            </w:tcBorders>
            <w:noWrap/>
            <w:vAlign w:val="center"/>
          </w:tcPr>
          <w:p w14:paraId="34B2E7DE">
            <w:pPr>
              <w:jc w:val="center"/>
              <w:rPr>
                <w:rFonts w:hint="eastAsia" w:ascii="宋体" w:hAnsi="宋体" w:eastAsia="宋体" w:cs="宋体"/>
                <w:i w:val="0"/>
                <w:iCs w:val="0"/>
                <w:color w:val="000000"/>
                <w:sz w:val="20"/>
                <w:szCs w:val="20"/>
                <w:u w:val="none"/>
              </w:rPr>
            </w:pPr>
          </w:p>
        </w:tc>
        <w:tc>
          <w:tcPr>
            <w:tcW w:w="806" w:type="dxa"/>
            <w:vMerge w:val="restart"/>
            <w:tcBorders>
              <w:top w:val="single" w:color="000000" w:sz="4" w:space="0"/>
              <w:left w:val="single" w:color="000000" w:sz="4" w:space="0"/>
              <w:bottom w:val="single" w:color="000000" w:sz="4" w:space="0"/>
              <w:right w:val="single" w:color="000000" w:sz="4" w:space="0"/>
            </w:tcBorders>
            <w:noWrap/>
            <w:vAlign w:val="center"/>
          </w:tcPr>
          <w:p w14:paraId="11984A34">
            <w:pPr>
              <w:jc w:val="center"/>
              <w:rPr>
                <w:rFonts w:hint="eastAsia" w:ascii="宋体" w:hAnsi="宋体" w:eastAsia="宋体" w:cs="宋体"/>
                <w:i w:val="0"/>
                <w:iCs w:val="0"/>
                <w:color w:val="000000"/>
                <w:sz w:val="20"/>
                <w:szCs w:val="20"/>
                <w:u w:val="none"/>
              </w:rPr>
            </w:pPr>
          </w:p>
        </w:tc>
      </w:tr>
      <w:tr w14:paraId="51D01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B7356F">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D7A1DF">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4CB664">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07CE5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测量气压水罐压力，通过稳压泵流量和启泵次数计算调节容积，应满足设计要求，计算方法应符合CECS 76 的有关规定。</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A403F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7C9C78">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ign w:val="center"/>
          </w:tcPr>
          <w:p w14:paraId="7D44ABE4">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ign w:val="center"/>
          </w:tcPr>
          <w:p w14:paraId="7E6CC2D5">
            <w:pPr>
              <w:jc w:val="center"/>
              <w:rPr>
                <w:rFonts w:hint="eastAsia" w:ascii="宋体" w:hAnsi="宋体" w:eastAsia="宋体" w:cs="宋体"/>
                <w:i w:val="0"/>
                <w:iCs w:val="0"/>
                <w:color w:val="000000"/>
                <w:sz w:val="20"/>
                <w:szCs w:val="20"/>
                <w:u w:val="none"/>
              </w:rPr>
            </w:pPr>
          </w:p>
        </w:tc>
      </w:tr>
      <w:tr w14:paraId="00DA7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0F40A7">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47F132">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08A3C4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水泵接合器</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F65FB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检查水泵接合器周围环境，清理、移除障碍物；</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5D6CAF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每日</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6EAAF8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水泵接合器的永久性标识缺失或不明显应补充或更换；</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CB75C83">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07502228">
            <w:pPr>
              <w:rPr>
                <w:rFonts w:hint="eastAsia" w:ascii="宋体" w:hAnsi="宋体" w:eastAsia="宋体" w:cs="宋体"/>
                <w:i w:val="0"/>
                <w:iCs w:val="0"/>
                <w:color w:val="000000"/>
                <w:sz w:val="20"/>
                <w:szCs w:val="20"/>
                <w:u w:val="none"/>
              </w:rPr>
            </w:pPr>
          </w:p>
        </w:tc>
      </w:tr>
      <w:tr w14:paraId="3EBD6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BE44FB">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68D66C">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C19C6F">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806A4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检查水泵接合器的永久性标识，应完整、清晰；</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6C280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24B705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转动水泵接合器闸阀、闷盖，观察其灵活性，必要时施涂润滑油；</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8403FB6">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00E49010">
            <w:pPr>
              <w:rPr>
                <w:rFonts w:hint="eastAsia" w:ascii="宋体" w:hAnsi="宋体" w:eastAsia="宋体" w:cs="宋体"/>
                <w:i w:val="0"/>
                <w:iCs w:val="0"/>
                <w:color w:val="000000"/>
                <w:sz w:val="20"/>
                <w:szCs w:val="20"/>
                <w:u w:val="none"/>
              </w:rPr>
            </w:pPr>
          </w:p>
        </w:tc>
      </w:tr>
      <w:tr w14:paraId="53895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F78560">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3FC634">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E42021">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4C160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检查水泵接合器活动部件的灵活性，应符合设计要求；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02335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59C19F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采用消防车车载消防水泵对水泵接合器进行充水试验时，供水最不利点的压力、流量应符合设计要求。</w:t>
            </w:r>
          </w:p>
        </w:tc>
        <w:tc>
          <w:tcPr>
            <w:tcW w:w="1050" w:type="dxa"/>
            <w:vMerge w:val="restart"/>
            <w:tcBorders>
              <w:top w:val="single" w:color="000000" w:sz="4" w:space="0"/>
              <w:left w:val="single" w:color="000000" w:sz="4" w:space="0"/>
              <w:bottom w:val="single" w:color="000000" w:sz="4" w:space="0"/>
              <w:right w:val="single" w:color="000000" w:sz="4" w:space="0"/>
            </w:tcBorders>
            <w:noWrap/>
            <w:vAlign w:val="center"/>
          </w:tcPr>
          <w:p w14:paraId="34D2EAB9">
            <w:pPr>
              <w:jc w:val="center"/>
              <w:rPr>
                <w:rFonts w:hint="eastAsia" w:ascii="宋体" w:hAnsi="宋体" w:eastAsia="宋体" w:cs="宋体"/>
                <w:i w:val="0"/>
                <w:iCs w:val="0"/>
                <w:color w:val="000000"/>
                <w:sz w:val="20"/>
                <w:szCs w:val="20"/>
                <w:u w:val="none"/>
              </w:rPr>
            </w:pPr>
          </w:p>
        </w:tc>
        <w:tc>
          <w:tcPr>
            <w:tcW w:w="806" w:type="dxa"/>
            <w:vMerge w:val="restart"/>
            <w:tcBorders>
              <w:top w:val="single" w:color="000000" w:sz="4" w:space="0"/>
              <w:left w:val="single" w:color="000000" w:sz="4" w:space="0"/>
              <w:bottom w:val="single" w:color="000000" w:sz="4" w:space="0"/>
              <w:right w:val="single" w:color="000000" w:sz="4" w:space="0"/>
            </w:tcBorders>
            <w:noWrap/>
            <w:vAlign w:val="center"/>
          </w:tcPr>
          <w:p w14:paraId="1ED7F7DD">
            <w:pPr>
              <w:jc w:val="center"/>
              <w:rPr>
                <w:rFonts w:hint="eastAsia" w:ascii="宋体" w:hAnsi="宋体" w:eastAsia="宋体" w:cs="宋体"/>
                <w:i w:val="0"/>
                <w:iCs w:val="0"/>
                <w:color w:val="000000"/>
                <w:sz w:val="20"/>
                <w:szCs w:val="20"/>
                <w:u w:val="none"/>
              </w:rPr>
            </w:pPr>
          </w:p>
        </w:tc>
      </w:tr>
      <w:tr w14:paraId="3029A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AE9FD9">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391025">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53DD55">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2898F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应对水泵接合器进行1次充水试验，压力、流量应符合设计要求。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48267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E19496">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ign w:val="center"/>
          </w:tcPr>
          <w:p w14:paraId="19D5DD3A">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ign w:val="center"/>
          </w:tcPr>
          <w:p w14:paraId="1CA2A8C2">
            <w:pPr>
              <w:jc w:val="center"/>
              <w:rPr>
                <w:rFonts w:hint="eastAsia" w:ascii="宋体" w:hAnsi="宋体" w:eastAsia="宋体" w:cs="宋体"/>
                <w:i w:val="0"/>
                <w:iCs w:val="0"/>
                <w:color w:val="000000"/>
                <w:sz w:val="20"/>
                <w:szCs w:val="20"/>
                <w:u w:val="none"/>
              </w:rPr>
            </w:pPr>
          </w:p>
        </w:tc>
      </w:tr>
      <w:tr w14:paraId="619ED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49E8FE">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FC2741">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5C39E2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室外消火栓</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003FE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检查室外消火栓周围环境，清理、移除障碍物；</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A5A3D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每日</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05F6AD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室外消火栓局部锈蚀，应打磨除锈后再重新补漆，支架、法兰等处螺栓的外露螺纹处宜施涂润滑脂；</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BED51EF">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5F0FB50">
            <w:pPr>
              <w:rPr>
                <w:rFonts w:hint="eastAsia" w:ascii="宋体" w:hAnsi="宋体" w:eastAsia="宋体" w:cs="宋体"/>
                <w:i w:val="0"/>
                <w:iCs w:val="0"/>
                <w:color w:val="000000"/>
                <w:sz w:val="20"/>
                <w:szCs w:val="20"/>
                <w:u w:val="none"/>
              </w:rPr>
            </w:pPr>
          </w:p>
        </w:tc>
      </w:tr>
      <w:tr w14:paraId="0881A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BFBD64">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7A4E57">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9D1BDF">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C560D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检查室外消火栓表面、支架及连接法兰，不应有锈蚀现象；</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D1E56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6AADC2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室外消火栓标识缺失或不明显时应补充或更换；</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5B0B96D">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7CA811B1">
            <w:pPr>
              <w:rPr>
                <w:rFonts w:hint="eastAsia" w:ascii="宋体" w:hAnsi="宋体" w:eastAsia="宋体" w:cs="宋体"/>
                <w:i w:val="0"/>
                <w:iCs w:val="0"/>
                <w:color w:val="000000"/>
                <w:sz w:val="20"/>
                <w:szCs w:val="20"/>
                <w:u w:val="none"/>
              </w:rPr>
            </w:pPr>
          </w:p>
        </w:tc>
      </w:tr>
      <w:tr w14:paraId="32A43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6A5D7B">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50F202">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67A61A">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E5A2D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检查室外消火栓标识，应完整、清晰；</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FCC6A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72C1E8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防冻设施缺损应修复；</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6EC479C">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11C5B0A0">
            <w:pPr>
              <w:rPr>
                <w:rFonts w:hint="eastAsia" w:ascii="宋体" w:hAnsi="宋体" w:eastAsia="宋体" w:cs="宋体"/>
                <w:i w:val="0"/>
                <w:iCs w:val="0"/>
                <w:color w:val="000000"/>
                <w:sz w:val="20"/>
                <w:szCs w:val="20"/>
                <w:u w:val="none"/>
              </w:rPr>
            </w:pPr>
          </w:p>
        </w:tc>
      </w:tr>
      <w:tr w14:paraId="08AAB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EF7124">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E1D19A">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860CD4">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60676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最低气温低于5℃前应检查防冻设施；</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188B6D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按需</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5B57CB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用专用扳手全开全闭2次室外消火栓启闭杆，保持其灵活性，必要时施涂润滑油；</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167DE67D">
            <w:pPr>
              <w:jc w:val="center"/>
              <w:rPr>
                <w:rFonts w:hint="eastAsia" w:ascii="宋体" w:hAnsi="宋体" w:eastAsia="宋体" w:cs="宋体"/>
                <w:i w:val="0"/>
                <w:iCs w:val="0"/>
                <w:color w:val="000000"/>
                <w:sz w:val="20"/>
                <w:szCs w:val="20"/>
                <w:u w:val="none"/>
              </w:rPr>
            </w:pP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7118BA0E">
            <w:pPr>
              <w:jc w:val="center"/>
              <w:rPr>
                <w:rFonts w:hint="eastAsia" w:ascii="宋体" w:hAnsi="宋体" w:eastAsia="宋体" w:cs="宋体"/>
                <w:i w:val="0"/>
                <w:iCs w:val="0"/>
                <w:color w:val="000000"/>
                <w:sz w:val="20"/>
                <w:szCs w:val="20"/>
                <w:u w:val="none"/>
              </w:rPr>
            </w:pPr>
          </w:p>
        </w:tc>
      </w:tr>
      <w:tr w14:paraId="4A992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E262F3">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C9953C">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1AF7DA">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492A1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用专用扳手启闭室外消火栓启闭杆，应启闭灵活，无渗漏；</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89C9B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5FF4A7">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D3E73D">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907860">
            <w:pPr>
              <w:jc w:val="center"/>
              <w:rPr>
                <w:rFonts w:hint="eastAsia" w:ascii="宋体" w:hAnsi="宋体" w:eastAsia="宋体" w:cs="宋体"/>
                <w:i w:val="0"/>
                <w:iCs w:val="0"/>
                <w:color w:val="000000"/>
                <w:sz w:val="20"/>
                <w:szCs w:val="20"/>
                <w:u w:val="none"/>
              </w:rPr>
            </w:pPr>
          </w:p>
        </w:tc>
      </w:tr>
      <w:tr w14:paraId="09C4C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8F4BF6">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F8A659">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4C2ABD">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8D0DE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检查市政给水管网的压力、流量，应符合设计要求；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56403C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25BE4C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每季度及大雨过后应清理消防井内积水、杂物。</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13D71B97">
            <w:pPr>
              <w:jc w:val="center"/>
              <w:rPr>
                <w:rFonts w:hint="eastAsia" w:ascii="宋体" w:hAnsi="宋体" w:eastAsia="宋体" w:cs="宋体"/>
                <w:i w:val="0"/>
                <w:iCs w:val="0"/>
                <w:color w:val="000000"/>
                <w:sz w:val="20"/>
                <w:szCs w:val="20"/>
                <w:u w:val="none"/>
              </w:rPr>
            </w:pP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149FB624">
            <w:pPr>
              <w:jc w:val="center"/>
              <w:rPr>
                <w:rFonts w:hint="eastAsia" w:ascii="宋体" w:hAnsi="宋体" w:eastAsia="宋体" w:cs="宋体"/>
                <w:i w:val="0"/>
                <w:iCs w:val="0"/>
                <w:color w:val="000000"/>
                <w:sz w:val="20"/>
                <w:szCs w:val="20"/>
                <w:u w:val="none"/>
              </w:rPr>
            </w:pPr>
          </w:p>
        </w:tc>
      </w:tr>
      <w:tr w14:paraId="7D4B2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0C9CA5">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6F6A7D">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BF6D89">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B377F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和大雨过后应检查地下室外消火栓井，井内应无积水。</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7962F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578C96">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309172">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D22875">
            <w:pPr>
              <w:jc w:val="center"/>
              <w:rPr>
                <w:rFonts w:hint="eastAsia" w:ascii="宋体" w:hAnsi="宋体" w:eastAsia="宋体" w:cs="宋体"/>
                <w:i w:val="0"/>
                <w:iCs w:val="0"/>
                <w:color w:val="000000"/>
                <w:sz w:val="20"/>
                <w:szCs w:val="20"/>
                <w:u w:val="none"/>
              </w:rPr>
            </w:pPr>
          </w:p>
        </w:tc>
      </w:tr>
      <w:tr w14:paraId="05095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6035AF">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09EA4B">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36583C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室内消火栓</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4582F6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检查室内消火栓周围环境，清理、移除障碍物；</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70CB3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1B850E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室内消火栓局部锈蚀，应打磨除锈后重新补漆；</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EDE39E4">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43E7F605">
            <w:pPr>
              <w:rPr>
                <w:rFonts w:hint="eastAsia" w:ascii="宋体" w:hAnsi="宋体" w:eastAsia="宋体" w:cs="宋体"/>
                <w:i w:val="0"/>
                <w:iCs w:val="0"/>
                <w:color w:val="000000"/>
                <w:sz w:val="20"/>
                <w:szCs w:val="20"/>
                <w:u w:val="none"/>
              </w:rPr>
            </w:pPr>
          </w:p>
        </w:tc>
      </w:tr>
      <w:tr w14:paraId="1D6C2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5189A9">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5F9446">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AB8E2E">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2B3FE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检查室内消火栓箱及组件外观，不应有锈蚀、破损现象；</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32440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7F8429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最低气温低于5℃时，应检修湿式消火栓系统的保温、采暖或电伴热等措施，放空干式消火栓系统管网余水，必要时使用压缩空气吹扫；</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A65C17B">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48E60F5E">
            <w:pPr>
              <w:rPr>
                <w:rFonts w:hint="eastAsia" w:ascii="宋体" w:hAnsi="宋体" w:eastAsia="宋体" w:cs="宋体"/>
                <w:i w:val="0"/>
                <w:iCs w:val="0"/>
                <w:color w:val="000000"/>
                <w:sz w:val="20"/>
                <w:szCs w:val="20"/>
                <w:u w:val="none"/>
              </w:rPr>
            </w:pPr>
          </w:p>
        </w:tc>
      </w:tr>
      <w:tr w14:paraId="4E553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A9B6AD">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28A587">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5B3EB2">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418C7E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最低气温低于5℃时，应检查湿式消火栓系统保温、采暖或电伴热等措施，干式消火栓系统管网应无存水；</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5AB0F2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按需</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24B028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安装室内消火栓闷盖接口，手动全开全闭2 次后恢复关闭状态。</w:t>
            </w:r>
          </w:p>
        </w:tc>
        <w:tc>
          <w:tcPr>
            <w:tcW w:w="1050" w:type="dxa"/>
            <w:vMerge w:val="restart"/>
            <w:tcBorders>
              <w:top w:val="single" w:color="000000" w:sz="4" w:space="0"/>
              <w:left w:val="single" w:color="000000" w:sz="4" w:space="0"/>
              <w:bottom w:val="single" w:color="000000" w:sz="4" w:space="0"/>
              <w:right w:val="single" w:color="000000" w:sz="4" w:space="0"/>
            </w:tcBorders>
            <w:noWrap/>
            <w:vAlign w:val="center"/>
          </w:tcPr>
          <w:p w14:paraId="18440BD0">
            <w:pPr>
              <w:jc w:val="center"/>
              <w:rPr>
                <w:rFonts w:hint="eastAsia" w:ascii="宋体" w:hAnsi="宋体" w:eastAsia="宋体" w:cs="宋体"/>
                <w:i w:val="0"/>
                <w:iCs w:val="0"/>
                <w:color w:val="000000"/>
                <w:sz w:val="20"/>
                <w:szCs w:val="20"/>
                <w:u w:val="none"/>
              </w:rPr>
            </w:pPr>
          </w:p>
        </w:tc>
        <w:tc>
          <w:tcPr>
            <w:tcW w:w="806" w:type="dxa"/>
            <w:vMerge w:val="restart"/>
            <w:tcBorders>
              <w:top w:val="single" w:color="000000" w:sz="4" w:space="0"/>
              <w:left w:val="single" w:color="000000" w:sz="4" w:space="0"/>
              <w:bottom w:val="single" w:color="000000" w:sz="4" w:space="0"/>
              <w:right w:val="single" w:color="000000" w:sz="4" w:space="0"/>
            </w:tcBorders>
            <w:noWrap/>
            <w:vAlign w:val="center"/>
          </w:tcPr>
          <w:p w14:paraId="50994F8C">
            <w:pPr>
              <w:jc w:val="center"/>
              <w:rPr>
                <w:rFonts w:hint="eastAsia" w:ascii="宋体" w:hAnsi="宋体" w:eastAsia="宋体" w:cs="宋体"/>
                <w:i w:val="0"/>
                <w:iCs w:val="0"/>
                <w:color w:val="000000"/>
                <w:sz w:val="20"/>
                <w:szCs w:val="20"/>
                <w:u w:val="none"/>
              </w:rPr>
            </w:pPr>
          </w:p>
        </w:tc>
      </w:tr>
      <w:tr w14:paraId="45354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D0ABA0">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C2C243">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BA6019">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68E0F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对室内消火栓进行1次严密性试验。</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FB4A9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7BF722">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ign w:val="center"/>
          </w:tcPr>
          <w:p w14:paraId="38728B5E">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ign w:val="center"/>
          </w:tcPr>
          <w:p w14:paraId="729358C3">
            <w:pPr>
              <w:jc w:val="center"/>
              <w:rPr>
                <w:rFonts w:hint="eastAsia" w:ascii="宋体" w:hAnsi="宋体" w:eastAsia="宋体" w:cs="宋体"/>
                <w:i w:val="0"/>
                <w:iCs w:val="0"/>
                <w:color w:val="000000"/>
                <w:sz w:val="20"/>
                <w:szCs w:val="20"/>
                <w:u w:val="none"/>
              </w:rPr>
            </w:pPr>
          </w:p>
        </w:tc>
      </w:tr>
      <w:tr w14:paraId="1FEA7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6DD41B">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37F971">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3C7621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管网和支吊架</w:t>
            </w:r>
          </w:p>
        </w:tc>
        <w:tc>
          <w:tcPr>
            <w:tcW w:w="3994" w:type="dxa"/>
            <w:vMerge w:val="restart"/>
            <w:tcBorders>
              <w:top w:val="single" w:color="000000" w:sz="4" w:space="0"/>
              <w:left w:val="single" w:color="000000" w:sz="4" w:space="0"/>
              <w:bottom w:val="single" w:color="000000" w:sz="4" w:space="0"/>
              <w:right w:val="single" w:color="000000" w:sz="4" w:space="0"/>
            </w:tcBorders>
            <w:noWrap w:val="0"/>
            <w:vAlign w:val="center"/>
          </w:tcPr>
          <w:p w14:paraId="7A1FF5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检查消防管道色环及文字标识，应完整、清晰；</w:t>
            </w:r>
          </w:p>
        </w:tc>
        <w:tc>
          <w:tcPr>
            <w:tcW w:w="1078" w:type="dxa"/>
            <w:vMerge w:val="restart"/>
            <w:tcBorders>
              <w:top w:val="single" w:color="000000" w:sz="4" w:space="0"/>
              <w:left w:val="single" w:color="000000" w:sz="4" w:space="0"/>
              <w:bottom w:val="single" w:color="000000" w:sz="4" w:space="0"/>
              <w:right w:val="single" w:color="000000" w:sz="4" w:space="0"/>
            </w:tcBorders>
            <w:noWrap w:val="0"/>
            <w:vAlign w:val="center"/>
          </w:tcPr>
          <w:p w14:paraId="141EF1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0840F3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消防管道色环及文字标识缺失应恢复；</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7242D43">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301C64EA">
            <w:pPr>
              <w:rPr>
                <w:rFonts w:hint="eastAsia" w:ascii="宋体" w:hAnsi="宋体" w:eastAsia="宋体" w:cs="宋体"/>
                <w:i w:val="0"/>
                <w:iCs w:val="0"/>
                <w:color w:val="000000"/>
                <w:sz w:val="20"/>
                <w:szCs w:val="20"/>
                <w:u w:val="none"/>
              </w:rPr>
            </w:pPr>
          </w:p>
        </w:tc>
      </w:tr>
      <w:tr w14:paraId="4A139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291C36">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C6BE7E">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49A1FD">
            <w:pPr>
              <w:jc w:val="center"/>
              <w:rPr>
                <w:rFonts w:hint="eastAsia" w:ascii="宋体" w:hAnsi="宋体" w:eastAsia="宋体" w:cs="宋体"/>
                <w:i w:val="0"/>
                <w:iCs w:val="0"/>
                <w:color w:val="000000"/>
                <w:sz w:val="20"/>
                <w:szCs w:val="20"/>
                <w:u w:val="none"/>
              </w:rPr>
            </w:pPr>
          </w:p>
        </w:tc>
        <w:tc>
          <w:tcPr>
            <w:tcW w:w="39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C08550">
            <w:pPr>
              <w:jc w:val="left"/>
              <w:rPr>
                <w:rFonts w:hint="eastAsia" w:ascii="宋体" w:hAnsi="宋体" w:eastAsia="宋体" w:cs="宋体"/>
                <w:i w:val="0"/>
                <w:iCs w:val="0"/>
                <w:color w:val="000000"/>
                <w:sz w:val="20"/>
                <w:szCs w:val="20"/>
                <w:u w:val="none"/>
              </w:rPr>
            </w:pPr>
          </w:p>
        </w:tc>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F67851">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158054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管道保温措施破损应修补，电伴热温度偏离设置温度范围应及时调整配电装置、检查伴热带及其接口、伴热带与管道的绝缘等，对局部低凹可能存水部位采取排水及吹扫等防冻措施；</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3D70652">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7D75635D">
            <w:pPr>
              <w:rPr>
                <w:rFonts w:hint="eastAsia" w:ascii="宋体" w:hAnsi="宋体" w:eastAsia="宋体" w:cs="宋体"/>
                <w:i w:val="0"/>
                <w:iCs w:val="0"/>
                <w:color w:val="000000"/>
                <w:sz w:val="20"/>
                <w:szCs w:val="20"/>
                <w:u w:val="none"/>
              </w:rPr>
            </w:pPr>
          </w:p>
        </w:tc>
      </w:tr>
      <w:tr w14:paraId="1674F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87F8A0">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04DDC1">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C995ED">
            <w:pPr>
              <w:jc w:val="center"/>
              <w:rPr>
                <w:rFonts w:hint="eastAsia" w:ascii="宋体" w:hAnsi="宋体" w:eastAsia="宋体" w:cs="宋体"/>
                <w:i w:val="0"/>
                <w:iCs w:val="0"/>
                <w:color w:val="000000"/>
                <w:sz w:val="20"/>
                <w:szCs w:val="20"/>
                <w:u w:val="none"/>
              </w:rPr>
            </w:pPr>
          </w:p>
        </w:tc>
        <w:tc>
          <w:tcPr>
            <w:tcW w:w="3994" w:type="dxa"/>
            <w:vMerge w:val="restart"/>
            <w:tcBorders>
              <w:top w:val="single" w:color="000000" w:sz="4" w:space="0"/>
              <w:left w:val="single" w:color="000000" w:sz="4" w:space="0"/>
              <w:bottom w:val="single" w:color="000000" w:sz="4" w:space="0"/>
              <w:right w:val="single" w:color="000000" w:sz="4" w:space="0"/>
            </w:tcBorders>
            <w:noWrap w:val="0"/>
            <w:vAlign w:val="center"/>
          </w:tcPr>
          <w:p w14:paraId="0EEB78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最低气温低于5℃前，应检查管道保温措施及伴热措施；</w:t>
            </w:r>
          </w:p>
        </w:tc>
        <w:tc>
          <w:tcPr>
            <w:tcW w:w="1078" w:type="dxa"/>
            <w:vMerge w:val="restart"/>
            <w:tcBorders>
              <w:top w:val="single" w:color="000000" w:sz="4" w:space="0"/>
              <w:left w:val="single" w:color="000000" w:sz="4" w:space="0"/>
              <w:bottom w:val="single" w:color="000000" w:sz="4" w:space="0"/>
              <w:right w:val="single" w:color="000000" w:sz="4" w:space="0"/>
            </w:tcBorders>
            <w:noWrap w:val="0"/>
            <w:vAlign w:val="center"/>
          </w:tcPr>
          <w:p w14:paraId="38C40F91">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2E4E83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钢管锈蚀应先除锈，且不低于St2等级，非镀锌钢管宜补刷同性质的防锈漆、面漆，镀锌钢管宜补刷银粉漆，更换锈蚀等级达到C、D级的螺栓、螺母，并在丝扣上涂润滑脂保护；除锈等级、锈蚀等级判定应符合GB 8923 的相关规定；</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8680E1D">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6292F44D">
            <w:pPr>
              <w:rPr>
                <w:rFonts w:hint="eastAsia" w:ascii="宋体" w:hAnsi="宋体" w:eastAsia="宋体" w:cs="宋体"/>
                <w:i w:val="0"/>
                <w:iCs w:val="0"/>
                <w:color w:val="000000"/>
                <w:sz w:val="20"/>
                <w:szCs w:val="20"/>
                <w:u w:val="none"/>
              </w:rPr>
            </w:pPr>
          </w:p>
        </w:tc>
      </w:tr>
      <w:tr w14:paraId="57B8C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45241A">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0CC1A3">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6CC829">
            <w:pPr>
              <w:jc w:val="center"/>
              <w:rPr>
                <w:rFonts w:hint="eastAsia" w:ascii="宋体" w:hAnsi="宋体" w:eastAsia="宋体" w:cs="宋体"/>
                <w:i w:val="0"/>
                <w:iCs w:val="0"/>
                <w:color w:val="000000"/>
                <w:sz w:val="20"/>
                <w:szCs w:val="20"/>
                <w:u w:val="none"/>
              </w:rPr>
            </w:pPr>
          </w:p>
        </w:tc>
        <w:tc>
          <w:tcPr>
            <w:tcW w:w="39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A7338F">
            <w:pPr>
              <w:jc w:val="left"/>
              <w:rPr>
                <w:rFonts w:hint="eastAsia" w:ascii="宋体" w:hAnsi="宋体" w:eastAsia="宋体" w:cs="宋体"/>
                <w:i w:val="0"/>
                <w:iCs w:val="0"/>
                <w:color w:val="000000"/>
                <w:sz w:val="20"/>
                <w:szCs w:val="20"/>
                <w:u w:val="none"/>
              </w:rPr>
            </w:pPr>
          </w:p>
        </w:tc>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91CAC8">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727EC1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支吊架锈蚀应先除锈，且不低于St2等级，非镀锌支吊架宜补刷同性质的防锈漆，镀锌支吊架宜补刷银粉漆；</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86786B3">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680C571C">
            <w:pPr>
              <w:rPr>
                <w:rFonts w:hint="eastAsia" w:ascii="宋体" w:hAnsi="宋体" w:eastAsia="宋体" w:cs="宋体"/>
                <w:i w:val="0"/>
                <w:iCs w:val="0"/>
                <w:color w:val="000000"/>
                <w:sz w:val="20"/>
                <w:szCs w:val="20"/>
                <w:u w:val="none"/>
              </w:rPr>
            </w:pPr>
          </w:p>
        </w:tc>
      </w:tr>
      <w:tr w14:paraId="57A54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A8080D">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17523C">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DB9D7E">
            <w:pPr>
              <w:jc w:val="center"/>
              <w:rPr>
                <w:rFonts w:hint="eastAsia" w:ascii="宋体" w:hAnsi="宋体" w:eastAsia="宋体" w:cs="宋体"/>
                <w:i w:val="0"/>
                <w:iCs w:val="0"/>
                <w:color w:val="000000"/>
                <w:sz w:val="20"/>
                <w:szCs w:val="20"/>
                <w:u w:val="none"/>
              </w:rPr>
            </w:pPr>
          </w:p>
        </w:tc>
        <w:tc>
          <w:tcPr>
            <w:tcW w:w="3994" w:type="dxa"/>
            <w:vMerge w:val="restart"/>
            <w:tcBorders>
              <w:top w:val="single" w:color="000000" w:sz="4" w:space="0"/>
              <w:left w:val="single" w:color="000000" w:sz="4" w:space="0"/>
              <w:bottom w:val="single" w:color="000000" w:sz="4" w:space="0"/>
              <w:right w:val="single" w:color="000000" w:sz="4" w:space="0"/>
            </w:tcBorders>
            <w:noWrap w:val="0"/>
            <w:vAlign w:val="center"/>
          </w:tcPr>
          <w:p w14:paraId="29287E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检查全部可见管网及支吊架，不应出现锈蚀、松动情况。</w:t>
            </w:r>
          </w:p>
        </w:tc>
        <w:tc>
          <w:tcPr>
            <w:tcW w:w="1078" w:type="dxa"/>
            <w:vMerge w:val="restart"/>
            <w:tcBorders>
              <w:top w:val="single" w:color="000000" w:sz="4" w:space="0"/>
              <w:left w:val="single" w:color="000000" w:sz="4" w:space="0"/>
              <w:bottom w:val="single" w:color="000000" w:sz="4" w:space="0"/>
              <w:right w:val="single" w:color="000000" w:sz="4" w:space="0"/>
            </w:tcBorders>
            <w:noWrap w:val="0"/>
            <w:vAlign w:val="center"/>
          </w:tcPr>
          <w:p w14:paraId="0F6E5D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每两年</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4C3995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紧固恢复脱落或松动的管道支吊架，每年将管道及附件的螺栓全部紧固1次；</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0D43797">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43F94535">
            <w:pPr>
              <w:rPr>
                <w:rFonts w:hint="eastAsia" w:ascii="宋体" w:hAnsi="宋体" w:eastAsia="宋体" w:cs="宋体"/>
                <w:i w:val="0"/>
                <w:iCs w:val="0"/>
                <w:color w:val="000000"/>
                <w:sz w:val="20"/>
                <w:szCs w:val="20"/>
                <w:u w:val="none"/>
              </w:rPr>
            </w:pPr>
          </w:p>
        </w:tc>
      </w:tr>
      <w:tr w14:paraId="2C50B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EFF244">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3AEAF5">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ECB5FD">
            <w:pPr>
              <w:jc w:val="center"/>
              <w:rPr>
                <w:rFonts w:hint="eastAsia" w:ascii="宋体" w:hAnsi="宋体" w:eastAsia="宋体" w:cs="宋体"/>
                <w:i w:val="0"/>
                <w:iCs w:val="0"/>
                <w:color w:val="000000"/>
                <w:sz w:val="20"/>
                <w:szCs w:val="20"/>
                <w:u w:val="none"/>
              </w:rPr>
            </w:pPr>
          </w:p>
        </w:tc>
        <w:tc>
          <w:tcPr>
            <w:tcW w:w="39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AA5428">
            <w:pPr>
              <w:jc w:val="left"/>
              <w:rPr>
                <w:rFonts w:hint="eastAsia" w:ascii="宋体" w:hAnsi="宋体" w:eastAsia="宋体" w:cs="宋体"/>
                <w:i w:val="0"/>
                <w:iCs w:val="0"/>
                <w:color w:val="000000"/>
                <w:sz w:val="20"/>
                <w:szCs w:val="20"/>
                <w:u w:val="none"/>
              </w:rPr>
            </w:pPr>
          </w:p>
        </w:tc>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6B3328">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543977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每三年对系统全部管道进行1 次冲洗、除锈、清渣。</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1D14E58">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551D938">
            <w:pPr>
              <w:rPr>
                <w:rFonts w:hint="eastAsia" w:ascii="宋体" w:hAnsi="宋体" w:eastAsia="宋体" w:cs="宋体"/>
                <w:i w:val="0"/>
                <w:iCs w:val="0"/>
                <w:color w:val="000000"/>
                <w:sz w:val="20"/>
                <w:szCs w:val="20"/>
                <w:u w:val="none"/>
              </w:rPr>
            </w:pPr>
          </w:p>
        </w:tc>
      </w:tr>
      <w:tr w14:paraId="482B7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46F8C7">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0CEDD3">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3DDCF4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阀门、止回阀、电动阀、电磁阀、水泵控制阀</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FB830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检查全部水源控制阀外观，应无渗水、滴漏，阀门状态应符合设计要求；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4C00BA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每日</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3D852A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清洁阀门，在外露螺纹处施涂润滑脂后手动全开全闭操作不少于2次，启闭困难时先使用润滑剂、除锈剂等处理，必要时更换阀门；</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34475BB">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76227CD5">
            <w:pPr>
              <w:rPr>
                <w:rFonts w:hint="eastAsia" w:ascii="宋体" w:hAnsi="宋体" w:eastAsia="宋体" w:cs="宋体"/>
                <w:i w:val="0"/>
                <w:iCs w:val="0"/>
                <w:color w:val="000000"/>
                <w:sz w:val="20"/>
                <w:szCs w:val="20"/>
                <w:u w:val="none"/>
              </w:rPr>
            </w:pPr>
          </w:p>
        </w:tc>
      </w:tr>
      <w:tr w14:paraId="41B8B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366B3E">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AE83D2">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F4A572">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E3C78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检查全部控制阀门状态、铅封及锁链等，损坏应更换，阀门状态应符合设计要求；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294A1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005790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至少清理1次电磁阀、电动阀前的过滤器；</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939A7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每半年</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72E2D7AC">
            <w:pPr>
              <w:rPr>
                <w:rFonts w:hint="eastAsia" w:ascii="宋体" w:hAnsi="宋体" w:eastAsia="宋体" w:cs="宋体"/>
                <w:i w:val="0"/>
                <w:iCs w:val="0"/>
                <w:color w:val="000000"/>
                <w:sz w:val="20"/>
                <w:szCs w:val="20"/>
                <w:u w:val="none"/>
              </w:rPr>
            </w:pPr>
          </w:p>
        </w:tc>
      </w:tr>
      <w:tr w14:paraId="0FBAB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CF081D">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5531F8">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287BC9">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9EBC0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测量倒流防止器的压差，复核设计参数，应符合设计要求；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BDAFD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104DA5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在阀门阀杆螺纹及传动机构等处施加润滑剂，并开关启闭1～2 次；</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216430A3">
            <w:pPr>
              <w:jc w:val="center"/>
              <w:rPr>
                <w:rFonts w:hint="eastAsia" w:ascii="宋体" w:hAnsi="宋体" w:eastAsia="宋体" w:cs="宋体"/>
                <w:i w:val="0"/>
                <w:iCs w:val="0"/>
                <w:color w:val="000000"/>
                <w:sz w:val="20"/>
                <w:szCs w:val="20"/>
                <w:u w:val="none"/>
              </w:rPr>
            </w:pP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227325F3">
            <w:pPr>
              <w:jc w:val="center"/>
              <w:rPr>
                <w:rFonts w:hint="eastAsia" w:ascii="宋体" w:hAnsi="宋体" w:eastAsia="宋体" w:cs="宋体"/>
                <w:i w:val="0"/>
                <w:iCs w:val="0"/>
                <w:color w:val="000000"/>
                <w:sz w:val="20"/>
                <w:szCs w:val="20"/>
                <w:u w:val="none"/>
              </w:rPr>
            </w:pPr>
          </w:p>
        </w:tc>
      </w:tr>
      <w:tr w14:paraId="3ED63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A6C5FD">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A12448">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96EAB0">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1E97E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检查全部阀门外观，手动启闭应灵活、不渗漏；</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655F7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2B02D4">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A1240A">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705F61">
            <w:pPr>
              <w:jc w:val="center"/>
              <w:rPr>
                <w:rFonts w:hint="eastAsia" w:ascii="宋体" w:hAnsi="宋体" w:eastAsia="宋体" w:cs="宋体"/>
                <w:i w:val="0"/>
                <w:iCs w:val="0"/>
                <w:color w:val="000000"/>
                <w:sz w:val="20"/>
                <w:szCs w:val="20"/>
                <w:u w:val="none"/>
              </w:rPr>
            </w:pPr>
          </w:p>
        </w:tc>
      </w:tr>
      <w:tr w14:paraId="7AFCB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C27CB8">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69B9B6">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EEBAF1">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205E7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对全部电磁阀、电动阀进行不少于2 次的启闭操作，检查供电、启闭性能及反馈信号；</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4067CE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45667E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清洁阀体及阀门开关指示牌、阀门编号或位置标记牌，应保持清晰可见；</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1F480DB1">
            <w:pPr>
              <w:jc w:val="center"/>
              <w:rPr>
                <w:rFonts w:hint="eastAsia" w:ascii="宋体" w:hAnsi="宋体" w:eastAsia="宋体" w:cs="宋体"/>
                <w:i w:val="0"/>
                <w:iCs w:val="0"/>
                <w:color w:val="000000"/>
                <w:sz w:val="20"/>
                <w:szCs w:val="20"/>
                <w:u w:val="none"/>
              </w:rPr>
            </w:pP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68B4CC89">
            <w:pPr>
              <w:jc w:val="center"/>
              <w:rPr>
                <w:rFonts w:hint="eastAsia" w:ascii="宋体" w:hAnsi="宋体" w:eastAsia="宋体" w:cs="宋体"/>
                <w:i w:val="0"/>
                <w:iCs w:val="0"/>
                <w:color w:val="000000"/>
                <w:sz w:val="20"/>
                <w:szCs w:val="20"/>
                <w:u w:val="none"/>
              </w:rPr>
            </w:pPr>
          </w:p>
        </w:tc>
      </w:tr>
      <w:tr w14:paraId="17FFE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9316D0">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18D597">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2CD459">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A0093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检查阀门开关指示牌，编号或位置标记牌应清晰可见；</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459EC6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795BB5">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F9D093">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557238">
            <w:pPr>
              <w:jc w:val="center"/>
              <w:rPr>
                <w:rFonts w:hint="eastAsia" w:ascii="宋体" w:hAnsi="宋体" w:eastAsia="宋体" w:cs="宋体"/>
                <w:i w:val="0"/>
                <w:iCs w:val="0"/>
                <w:color w:val="000000"/>
                <w:sz w:val="20"/>
                <w:szCs w:val="20"/>
                <w:u w:val="none"/>
              </w:rPr>
            </w:pPr>
          </w:p>
        </w:tc>
      </w:tr>
      <w:tr w14:paraId="3E840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68823D">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8EC8F2">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7FE6EB">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12B4D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检查紧固阀门支架和法兰连接处的螺栓，应无锈蚀；</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5C758A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726192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紧固阀门支架和法兰连接处的螺栓，并在外露螺纹处施涂润滑脂；</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7FD351E1">
            <w:pPr>
              <w:jc w:val="center"/>
              <w:rPr>
                <w:rFonts w:hint="eastAsia" w:ascii="宋体" w:hAnsi="宋体" w:eastAsia="宋体" w:cs="宋体"/>
                <w:i w:val="0"/>
                <w:iCs w:val="0"/>
                <w:color w:val="000000"/>
                <w:sz w:val="20"/>
                <w:szCs w:val="20"/>
                <w:u w:val="none"/>
              </w:rPr>
            </w:pP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77F20513">
            <w:pPr>
              <w:jc w:val="center"/>
              <w:rPr>
                <w:rFonts w:hint="eastAsia" w:ascii="宋体" w:hAnsi="宋体" w:eastAsia="宋体" w:cs="宋体"/>
                <w:i w:val="0"/>
                <w:iCs w:val="0"/>
                <w:color w:val="000000"/>
                <w:sz w:val="20"/>
                <w:szCs w:val="20"/>
                <w:u w:val="none"/>
              </w:rPr>
            </w:pPr>
          </w:p>
        </w:tc>
      </w:tr>
      <w:tr w14:paraId="7E690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EB9CBA">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43AEEB">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1BCBAF">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503EF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检查阀门填料压盖、加油孔、阀盖与阀体连接及阀门法兰等处，应无渗漏；</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587B48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F6E17A">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DB983E">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1999E9">
            <w:pPr>
              <w:jc w:val="center"/>
              <w:rPr>
                <w:rFonts w:hint="eastAsia" w:ascii="宋体" w:hAnsi="宋体" w:eastAsia="宋体" w:cs="宋体"/>
                <w:i w:val="0"/>
                <w:iCs w:val="0"/>
                <w:color w:val="000000"/>
                <w:sz w:val="20"/>
                <w:szCs w:val="20"/>
                <w:u w:val="none"/>
              </w:rPr>
            </w:pPr>
          </w:p>
        </w:tc>
      </w:tr>
      <w:tr w14:paraId="6442F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5DB735">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7EFE4F">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9D89A0">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C96CA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对系统全部末端试水阀和报警阀的放水试验阀进行1 次放水试验，检查系统启动、报警功能以及出水情况；</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4CC761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09C85B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阀门保温措施缺损时应及时修补。</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01A1A051">
            <w:pPr>
              <w:jc w:val="center"/>
              <w:rPr>
                <w:rFonts w:hint="eastAsia" w:ascii="宋体" w:hAnsi="宋体" w:eastAsia="宋体" w:cs="宋体"/>
                <w:i w:val="0"/>
                <w:iCs w:val="0"/>
                <w:color w:val="000000"/>
                <w:sz w:val="20"/>
                <w:szCs w:val="20"/>
                <w:u w:val="none"/>
              </w:rPr>
            </w:pP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1B18F34A">
            <w:pPr>
              <w:jc w:val="center"/>
              <w:rPr>
                <w:rFonts w:hint="eastAsia" w:ascii="宋体" w:hAnsi="宋体" w:eastAsia="宋体" w:cs="宋体"/>
                <w:i w:val="0"/>
                <w:iCs w:val="0"/>
                <w:color w:val="000000"/>
                <w:sz w:val="20"/>
                <w:szCs w:val="20"/>
                <w:u w:val="none"/>
              </w:rPr>
            </w:pPr>
          </w:p>
        </w:tc>
      </w:tr>
      <w:tr w14:paraId="656C3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027B25">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CD25AA">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D385D0">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B4B12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最低气温低于5℃前，应检查全部阀门的保温、伴热措施。</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09F6E4B">
            <w:pPr>
              <w:jc w:val="center"/>
              <w:rPr>
                <w:rFonts w:hint="eastAsia" w:ascii="宋体" w:hAnsi="宋体" w:eastAsia="宋体" w:cs="宋体"/>
                <w:i w:val="0"/>
                <w:iCs w:val="0"/>
                <w:color w:val="000000"/>
                <w:sz w:val="20"/>
                <w:szCs w:val="20"/>
                <w:u w:val="none"/>
              </w:rPr>
            </w:pP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2C83FA">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356FA4">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6DDF4C">
            <w:pPr>
              <w:jc w:val="center"/>
              <w:rPr>
                <w:rFonts w:hint="eastAsia" w:ascii="宋体" w:hAnsi="宋体" w:eastAsia="宋体" w:cs="宋体"/>
                <w:i w:val="0"/>
                <w:iCs w:val="0"/>
                <w:color w:val="000000"/>
                <w:sz w:val="20"/>
                <w:szCs w:val="20"/>
                <w:u w:val="none"/>
              </w:rPr>
            </w:pPr>
          </w:p>
        </w:tc>
      </w:tr>
      <w:tr w14:paraId="6CD9A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1722AB">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DBF87D">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71E5DD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减压阀</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E4891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对减压阀组阀后进行1次放水试验，排水应通畅，检查减压阀阀前、阀后动、静压力应符合设计要求；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9B76B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11D416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减压阀组放水试验时检查减压阀阀前、阀后静水压力，阀后动压力不符合设计值时，可通过反复启闭放水阀的方式冲洗杂质，冲洗无效时，应解体清理和调整；</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246AABB">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126062C5">
            <w:pPr>
              <w:rPr>
                <w:rFonts w:hint="eastAsia" w:ascii="宋体" w:hAnsi="宋体" w:eastAsia="宋体" w:cs="宋体"/>
                <w:i w:val="0"/>
                <w:iCs w:val="0"/>
                <w:color w:val="000000"/>
                <w:sz w:val="20"/>
                <w:szCs w:val="20"/>
                <w:u w:val="none"/>
              </w:rPr>
            </w:pPr>
          </w:p>
        </w:tc>
      </w:tr>
      <w:tr w14:paraId="1AD4E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A4EDA6">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EA134E">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3ABB0D">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4A336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测量减压阀阀前、阀后静水压力，阀后动水压力，应符合设计要求；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96D96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5682C7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检查减压阀处的试验用压力排水管道，必要时清理疏通；</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68FD5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3D8C8E10">
            <w:pPr>
              <w:rPr>
                <w:rFonts w:hint="eastAsia" w:ascii="宋体" w:hAnsi="宋体" w:eastAsia="宋体" w:cs="宋体"/>
                <w:i w:val="0"/>
                <w:iCs w:val="0"/>
                <w:color w:val="000000"/>
                <w:sz w:val="20"/>
                <w:szCs w:val="20"/>
                <w:u w:val="none"/>
              </w:rPr>
            </w:pPr>
          </w:p>
        </w:tc>
      </w:tr>
      <w:tr w14:paraId="23EED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004BCD">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5C1B80">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2E3BF1">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59E80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对减压阀的流量和压力进行1 次试验，性能应满足要求；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FD331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6EB1DB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至少应清理1次阀前过滤器；</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BA823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1016EC8C">
            <w:pPr>
              <w:rPr>
                <w:rFonts w:hint="eastAsia" w:ascii="宋体" w:hAnsi="宋体" w:eastAsia="宋体" w:cs="宋体"/>
                <w:i w:val="0"/>
                <w:iCs w:val="0"/>
                <w:color w:val="000000"/>
                <w:sz w:val="20"/>
                <w:szCs w:val="20"/>
                <w:u w:val="none"/>
              </w:rPr>
            </w:pPr>
          </w:p>
        </w:tc>
      </w:tr>
      <w:tr w14:paraId="1C812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FF21F5">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1C7715">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E525B0">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7C599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检查减压阀阀体上的呼吸孔，应保持通畅；</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39362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4E196B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两组减压阀并联设置时应一用一备，轮换工作，轮换周期宜为三个月。</w:t>
            </w:r>
          </w:p>
        </w:tc>
        <w:tc>
          <w:tcPr>
            <w:tcW w:w="1050" w:type="dxa"/>
            <w:vMerge w:val="restart"/>
            <w:tcBorders>
              <w:top w:val="single" w:color="000000" w:sz="4" w:space="0"/>
              <w:left w:val="single" w:color="000000" w:sz="4" w:space="0"/>
              <w:bottom w:val="single" w:color="000000" w:sz="4" w:space="0"/>
              <w:right w:val="single" w:color="000000" w:sz="4" w:space="0"/>
            </w:tcBorders>
            <w:noWrap/>
            <w:vAlign w:val="center"/>
          </w:tcPr>
          <w:p w14:paraId="7509F4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三月</w:t>
            </w:r>
          </w:p>
        </w:tc>
        <w:tc>
          <w:tcPr>
            <w:tcW w:w="806" w:type="dxa"/>
            <w:vMerge w:val="restart"/>
            <w:tcBorders>
              <w:top w:val="single" w:color="000000" w:sz="4" w:space="0"/>
              <w:left w:val="single" w:color="000000" w:sz="4" w:space="0"/>
              <w:bottom w:val="single" w:color="000000" w:sz="4" w:space="0"/>
              <w:right w:val="single" w:color="000000" w:sz="4" w:space="0"/>
            </w:tcBorders>
            <w:noWrap/>
            <w:vAlign w:val="center"/>
          </w:tcPr>
          <w:p w14:paraId="7E20CD52">
            <w:pPr>
              <w:jc w:val="center"/>
              <w:rPr>
                <w:rFonts w:hint="eastAsia" w:ascii="宋体" w:hAnsi="宋体" w:eastAsia="宋体" w:cs="宋体"/>
                <w:i w:val="0"/>
                <w:iCs w:val="0"/>
                <w:color w:val="000000"/>
                <w:sz w:val="20"/>
                <w:szCs w:val="20"/>
                <w:u w:val="none"/>
              </w:rPr>
            </w:pPr>
          </w:p>
        </w:tc>
      </w:tr>
      <w:tr w14:paraId="69AA1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AA6544">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5FC66F">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E97B02">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1B99D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对减压阀的流量和压力进行1次试验，减压阀的水头损失应小于阀后设计静压和动压差，在小流量、设计流量不应出现噪声明显增加或管道出现喘振。</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59C82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809B26">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ign w:val="center"/>
          </w:tcPr>
          <w:p w14:paraId="7F57D4BB">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ign w:val="center"/>
          </w:tcPr>
          <w:p w14:paraId="30DC6BFD">
            <w:pPr>
              <w:jc w:val="center"/>
              <w:rPr>
                <w:rFonts w:hint="eastAsia" w:ascii="宋体" w:hAnsi="宋体" w:eastAsia="宋体" w:cs="宋体"/>
                <w:i w:val="0"/>
                <w:iCs w:val="0"/>
                <w:color w:val="000000"/>
                <w:sz w:val="20"/>
                <w:szCs w:val="20"/>
                <w:u w:val="none"/>
              </w:rPr>
            </w:pPr>
          </w:p>
        </w:tc>
      </w:tr>
      <w:tr w14:paraId="3B1DD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72" w:type="dxa"/>
            <w:vMerge w:val="restart"/>
            <w:tcBorders>
              <w:top w:val="single" w:color="000000" w:sz="4" w:space="0"/>
              <w:left w:val="single" w:color="000000" w:sz="4" w:space="0"/>
              <w:bottom w:val="single" w:color="000000" w:sz="4" w:space="0"/>
              <w:right w:val="single" w:color="000000" w:sz="4" w:space="0"/>
            </w:tcBorders>
            <w:noWrap w:val="0"/>
            <w:vAlign w:val="center"/>
          </w:tcPr>
          <w:p w14:paraId="6126976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w:t>
            </w:r>
          </w:p>
        </w:tc>
        <w:tc>
          <w:tcPr>
            <w:tcW w:w="1341" w:type="dxa"/>
            <w:vMerge w:val="restart"/>
            <w:tcBorders>
              <w:top w:val="single" w:color="000000" w:sz="4" w:space="0"/>
              <w:left w:val="single" w:color="000000" w:sz="4" w:space="0"/>
              <w:bottom w:val="single" w:color="000000" w:sz="4" w:space="0"/>
              <w:right w:val="single" w:color="000000" w:sz="4" w:space="0"/>
            </w:tcBorders>
            <w:noWrap w:val="0"/>
            <w:vAlign w:val="center"/>
          </w:tcPr>
          <w:p w14:paraId="57EEC3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自动喷水灭火系统</w:t>
            </w: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00ED2A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报警阀组</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1FEE3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检查报警阀周围环境，清理、移除障碍物；</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811A8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每日</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1B5CD3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最低气温低于5℃前，应检修湿式系统保温、采暖或电伴热措施，放空干式、雨淋、预作用系统管网余水，必要时使用压缩空气吹扫；</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D20A2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按要求</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7E0270CC">
            <w:pPr>
              <w:rPr>
                <w:rFonts w:hint="eastAsia" w:ascii="宋体" w:hAnsi="宋体" w:eastAsia="宋体" w:cs="宋体"/>
                <w:i w:val="0"/>
                <w:iCs w:val="0"/>
                <w:color w:val="000000"/>
                <w:sz w:val="20"/>
                <w:szCs w:val="20"/>
                <w:u w:val="none"/>
              </w:rPr>
            </w:pPr>
          </w:p>
        </w:tc>
      </w:tr>
      <w:tr w14:paraId="7F02C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952ABF">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450D79">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BAEE4C">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8220E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最低气温低于5℃前应检查报警阀的防冻措施；</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5E820C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按要求</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6661E7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清理压力表表盘，旋动压力表三通旋塞阀放水冲洗1～2次后，观察压力表示值变化；</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B03BA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623B8248">
            <w:pPr>
              <w:rPr>
                <w:rFonts w:hint="eastAsia" w:ascii="宋体" w:hAnsi="宋体" w:eastAsia="宋体" w:cs="宋体"/>
                <w:i w:val="0"/>
                <w:iCs w:val="0"/>
                <w:color w:val="000000"/>
                <w:sz w:val="20"/>
                <w:szCs w:val="20"/>
                <w:u w:val="none"/>
              </w:rPr>
            </w:pPr>
          </w:p>
        </w:tc>
      </w:tr>
      <w:tr w14:paraId="6BF0E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363B5D">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1B6CAD">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140FB8">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FE34A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检查系统侧和水源测压力，两侧压差不应超过0.01MPa，且水源侧压力不应低于0.14MPa；</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6D1B6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7DE2D8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全开全闭1次报警阀水源侧控制阀、试验警铃阀、放水阀、紧急启动阀、复位阀、注水阀、截止阀，各阀门应正常；</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C0B20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1DCD89F6">
            <w:pPr>
              <w:rPr>
                <w:rFonts w:hint="eastAsia" w:ascii="宋体" w:hAnsi="宋体" w:eastAsia="宋体" w:cs="宋体"/>
                <w:i w:val="0"/>
                <w:iCs w:val="0"/>
                <w:color w:val="000000"/>
                <w:sz w:val="20"/>
                <w:szCs w:val="20"/>
                <w:u w:val="none"/>
              </w:rPr>
            </w:pPr>
          </w:p>
        </w:tc>
      </w:tr>
      <w:tr w14:paraId="730F6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63AF56">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155AE1">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00229A">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5A01B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检查预作用报警阀和干式报警阀，阀前稳压值应符合设计要求且不低于0.25MPa；</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0BBDC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20BA11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紧固报警阀组法兰处的连接螺栓，在外露螺纹处施涂润滑脂；</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8E396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1E320171">
            <w:pPr>
              <w:rPr>
                <w:rFonts w:hint="eastAsia" w:ascii="宋体" w:hAnsi="宋体" w:eastAsia="宋体" w:cs="宋体"/>
                <w:i w:val="0"/>
                <w:iCs w:val="0"/>
                <w:color w:val="000000"/>
                <w:sz w:val="20"/>
                <w:szCs w:val="20"/>
                <w:u w:val="none"/>
              </w:rPr>
            </w:pPr>
          </w:p>
        </w:tc>
      </w:tr>
      <w:tr w14:paraId="7297C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A5586B">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044A8E">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D0DE54">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5C9A7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检查充气装置的启停压力值，应符合设计要求；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415A7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4C6ACA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至少清理全部过滤器1次，疏通延迟器小孔接口等组件，确保畅通；</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C016B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每半年</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E2E0BB9">
            <w:pPr>
              <w:rPr>
                <w:rFonts w:hint="eastAsia" w:ascii="宋体" w:hAnsi="宋体" w:eastAsia="宋体" w:cs="宋体"/>
                <w:i w:val="0"/>
                <w:iCs w:val="0"/>
                <w:color w:val="000000"/>
                <w:sz w:val="20"/>
                <w:szCs w:val="20"/>
                <w:u w:val="none"/>
              </w:rPr>
            </w:pPr>
          </w:p>
        </w:tc>
      </w:tr>
      <w:tr w14:paraId="6C1E2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413FDA">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88C11B">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EF4620">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2CBDF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检查报警阀上游的水源控制阀，应锁定在全开位置；</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FFF63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69C569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清洗雨淋阀防复位器，清除阀体内水垢，使阀芯动作灵活，各节流孔保持畅通，如〇型圈老化、粘结，应更换；</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94114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055A8EE1">
            <w:pPr>
              <w:rPr>
                <w:rFonts w:hint="eastAsia" w:ascii="宋体" w:hAnsi="宋体" w:eastAsia="宋体" w:cs="宋体"/>
                <w:i w:val="0"/>
                <w:iCs w:val="0"/>
                <w:color w:val="000000"/>
                <w:sz w:val="20"/>
                <w:szCs w:val="20"/>
                <w:u w:val="none"/>
              </w:rPr>
            </w:pPr>
          </w:p>
        </w:tc>
      </w:tr>
      <w:tr w14:paraId="00446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BDDBD9">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208CB8">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5E169F">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71737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检查自动喷水系统全部控制阀及其启闭状态，应采用铅封、锁链等方式固定在规定状态且无泄漏现象；</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30F4F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517D95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宜打开报警阀阀体清洁内部零配件，清理水垢、锈蚀等杂质，零配件如有明显锈蚀、变形应更换，检查膜片和阀瓣密封面等密封件，如有压痕变形、老化发硬、粘贴、龟裂等应更换；</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716CD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每两年</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600890B5">
            <w:pPr>
              <w:rPr>
                <w:rFonts w:hint="eastAsia" w:ascii="宋体" w:hAnsi="宋体" w:eastAsia="宋体" w:cs="宋体"/>
                <w:i w:val="0"/>
                <w:iCs w:val="0"/>
                <w:color w:val="000000"/>
                <w:sz w:val="20"/>
                <w:szCs w:val="20"/>
                <w:u w:val="none"/>
              </w:rPr>
            </w:pPr>
          </w:p>
        </w:tc>
      </w:tr>
      <w:tr w14:paraId="1D469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F1450F">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81707E">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0F2939">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CCDDA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检查电磁阀并做启动试验，应启闭灵活、无渗漏；</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A904C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03E1A5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按照产品说明书的要求保养空气压缩机</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78384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按要求</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06F6887">
            <w:pPr>
              <w:rPr>
                <w:rFonts w:hint="eastAsia" w:ascii="宋体" w:hAnsi="宋体" w:eastAsia="宋体" w:cs="宋体"/>
                <w:i w:val="0"/>
                <w:iCs w:val="0"/>
                <w:color w:val="000000"/>
                <w:sz w:val="20"/>
                <w:szCs w:val="20"/>
                <w:u w:val="none"/>
              </w:rPr>
            </w:pPr>
          </w:p>
        </w:tc>
      </w:tr>
      <w:tr w14:paraId="76124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E863BB">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C17418">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32F3F1">
            <w:pPr>
              <w:jc w:val="center"/>
              <w:rPr>
                <w:rFonts w:hint="eastAsia" w:ascii="宋体" w:hAnsi="宋体" w:eastAsia="宋体" w:cs="宋体"/>
                <w:i w:val="0"/>
                <w:iCs w:val="0"/>
                <w:color w:val="000000"/>
                <w:sz w:val="20"/>
                <w:szCs w:val="20"/>
                <w:u w:val="none"/>
              </w:rPr>
            </w:pPr>
          </w:p>
        </w:tc>
        <w:tc>
          <w:tcPr>
            <w:tcW w:w="3994" w:type="dxa"/>
            <w:vMerge w:val="restart"/>
            <w:tcBorders>
              <w:top w:val="single" w:color="000000" w:sz="4" w:space="0"/>
              <w:left w:val="single" w:color="000000" w:sz="4" w:space="0"/>
              <w:bottom w:val="single" w:color="000000" w:sz="4" w:space="0"/>
              <w:right w:val="single" w:color="000000" w:sz="4" w:space="0"/>
            </w:tcBorders>
            <w:noWrap w:val="0"/>
            <w:vAlign w:val="center"/>
          </w:tcPr>
          <w:p w14:paraId="012800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检查报警阀外观，不应有锈蚀现象；</w:t>
            </w:r>
          </w:p>
        </w:tc>
        <w:tc>
          <w:tcPr>
            <w:tcW w:w="1078" w:type="dxa"/>
            <w:vMerge w:val="restart"/>
            <w:tcBorders>
              <w:top w:val="single" w:color="000000" w:sz="4" w:space="0"/>
              <w:left w:val="single" w:color="000000" w:sz="4" w:space="0"/>
              <w:bottom w:val="single" w:color="000000" w:sz="4" w:space="0"/>
              <w:right w:val="single" w:color="000000" w:sz="4" w:space="0"/>
            </w:tcBorders>
            <w:noWrap w:val="0"/>
            <w:vAlign w:val="center"/>
          </w:tcPr>
          <w:p w14:paraId="792DAA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678A4D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排放储气罐中的冷凝水；</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B0095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42A7F899">
            <w:pPr>
              <w:rPr>
                <w:rFonts w:hint="eastAsia" w:ascii="宋体" w:hAnsi="宋体" w:eastAsia="宋体" w:cs="宋体"/>
                <w:i w:val="0"/>
                <w:iCs w:val="0"/>
                <w:color w:val="000000"/>
                <w:sz w:val="20"/>
                <w:szCs w:val="20"/>
                <w:u w:val="none"/>
              </w:rPr>
            </w:pPr>
          </w:p>
        </w:tc>
      </w:tr>
      <w:tr w14:paraId="5BA3C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099899">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3F1CC0">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CA71E5">
            <w:pPr>
              <w:jc w:val="center"/>
              <w:rPr>
                <w:rFonts w:hint="eastAsia" w:ascii="宋体" w:hAnsi="宋体" w:eastAsia="宋体" w:cs="宋体"/>
                <w:i w:val="0"/>
                <w:iCs w:val="0"/>
                <w:color w:val="000000"/>
                <w:sz w:val="20"/>
                <w:szCs w:val="20"/>
                <w:u w:val="none"/>
              </w:rPr>
            </w:pPr>
          </w:p>
        </w:tc>
        <w:tc>
          <w:tcPr>
            <w:tcW w:w="39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62D099">
            <w:pPr>
              <w:jc w:val="left"/>
              <w:rPr>
                <w:rFonts w:hint="eastAsia" w:ascii="宋体" w:hAnsi="宋体" w:eastAsia="宋体" w:cs="宋体"/>
                <w:i w:val="0"/>
                <w:iCs w:val="0"/>
                <w:color w:val="000000"/>
                <w:sz w:val="20"/>
                <w:szCs w:val="20"/>
                <w:u w:val="none"/>
              </w:rPr>
            </w:pPr>
          </w:p>
        </w:tc>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777283">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7E9A07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检查、更换空气过滤器，清洁冷却器；</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29339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4DB2677F">
            <w:pPr>
              <w:rPr>
                <w:rFonts w:hint="eastAsia" w:ascii="宋体" w:hAnsi="宋体" w:eastAsia="宋体" w:cs="宋体"/>
                <w:i w:val="0"/>
                <w:iCs w:val="0"/>
                <w:color w:val="000000"/>
                <w:sz w:val="20"/>
                <w:szCs w:val="20"/>
                <w:u w:val="none"/>
              </w:rPr>
            </w:pPr>
          </w:p>
        </w:tc>
      </w:tr>
      <w:tr w14:paraId="2AB47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4ED686">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4BF690">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FA9173">
            <w:pPr>
              <w:jc w:val="center"/>
              <w:rPr>
                <w:rFonts w:hint="eastAsia" w:ascii="宋体" w:hAnsi="宋体" w:eastAsia="宋体" w:cs="宋体"/>
                <w:i w:val="0"/>
                <w:iCs w:val="0"/>
                <w:color w:val="000000"/>
                <w:sz w:val="20"/>
                <w:szCs w:val="20"/>
                <w:u w:val="none"/>
              </w:rPr>
            </w:pPr>
          </w:p>
        </w:tc>
        <w:tc>
          <w:tcPr>
            <w:tcW w:w="3994" w:type="dxa"/>
            <w:vMerge w:val="restart"/>
            <w:tcBorders>
              <w:top w:val="single" w:color="000000" w:sz="4" w:space="0"/>
              <w:left w:val="single" w:color="000000" w:sz="4" w:space="0"/>
              <w:bottom w:val="single" w:color="000000" w:sz="4" w:space="0"/>
              <w:right w:val="single" w:color="000000" w:sz="4" w:space="0"/>
            </w:tcBorders>
            <w:noWrap w:val="0"/>
            <w:vAlign w:val="center"/>
          </w:tcPr>
          <w:p w14:paraId="7B8272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检查报警阀组法兰处的连接螺栓，不应锈蚀。</w:t>
            </w:r>
          </w:p>
        </w:tc>
        <w:tc>
          <w:tcPr>
            <w:tcW w:w="1078" w:type="dxa"/>
            <w:vMerge w:val="restart"/>
            <w:tcBorders>
              <w:top w:val="single" w:color="000000" w:sz="4" w:space="0"/>
              <w:left w:val="single" w:color="000000" w:sz="4" w:space="0"/>
              <w:bottom w:val="single" w:color="000000" w:sz="4" w:space="0"/>
              <w:right w:val="single" w:color="000000" w:sz="4" w:space="0"/>
            </w:tcBorders>
            <w:noWrap w:val="0"/>
            <w:vAlign w:val="center"/>
          </w:tcPr>
          <w:p w14:paraId="237673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5721E9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检查皮带松紧度，如皮带有明显裂纹或失去弹性应更换；</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24B76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2B87F009">
            <w:pPr>
              <w:rPr>
                <w:rFonts w:hint="eastAsia" w:ascii="宋体" w:hAnsi="宋体" w:eastAsia="宋体" w:cs="宋体"/>
                <w:i w:val="0"/>
                <w:iCs w:val="0"/>
                <w:color w:val="000000"/>
                <w:sz w:val="20"/>
                <w:szCs w:val="20"/>
                <w:u w:val="none"/>
              </w:rPr>
            </w:pPr>
          </w:p>
        </w:tc>
      </w:tr>
      <w:tr w14:paraId="1E71F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5468C2">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E5AACB">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E0CECF">
            <w:pPr>
              <w:jc w:val="center"/>
              <w:rPr>
                <w:rFonts w:hint="eastAsia" w:ascii="宋体" w:hAnsi="宋体" w:eastAsia="宋体" w:cs="宋体"/>
                <w:i w:val="0"/>
                <w:iCs w:val="0"/>
                <w:color w:val="000000"/>
                <w:sz w:val="20"/>
                <w:szCs w:val="20"/>
                <w:u w:val="none"/>
              </w:rPr>
            </w:pPr>
          </w:p>
        </w:tc>
        <w:tc>
          <w:tcPr>
            <w:tcW w:w="39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2B7169">
            <w:pPr>
              <w:jc w:val="left"/>
              <w:rPr>
                <w:rFonts w:hint="eastAsia" w:ascii="宋体" w:hAnsi="宋体" w:eastAsia="宋体" w:cs="宋体"/>
                <w:i w:val="0"/>
                <w:iCs w:val="0"/>
                <w:color w:val="000000"/>
                <w:sz w:val="20"/>
                <w:szCs w:val="20"/>
                <w:u w:val="none"/>
              </w:rPr>
            </w:pPr>
          </w:p>
        </w:tc>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0981CB">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153D38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补充、更换润滑油，并根据环境、湿度、尘埃和空气中是否经常存在酸碱性气体等使用条件，必要时更换润滑油过滤器。</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21B5D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68363F4A">
            <w:pPr>
              <w:rPr>
                <w:rFonts w:hint="eastAsia" w:ascii="宋体" w:hAnsi="宋体" w:eastAsia="宋体" w:cs="宋体"/>
                <w:i w:val="0"/>
                <w:iCs w:val="0"/>
                <w:color w:val="000000"/>
                <w:sz w:val="20"/>
                <w:szCs w:val="20"/>
                <w:u w:val="none"/>
              </w:rPr>
            </w:pPr>
          </w:p>
        </w:tc>
      </w:tr>
      <w:tr w14:paraId="08E83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A86C69">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972EB9">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5FF13A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系统组件</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8D46E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检查不带锁定装置的阀门及其启闭状态，应处于准工作状态且无泄漏；</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FED21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每周</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1648C7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紧固信号阀支架和法兰连接处的螺栓，并在外露螺纹处施涂润滑脂；</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0D2BE6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79F2B08F">
            <w:pPr>
              <w:jc w:val="center"/>
              <w:rPr>
                <w:rFonts w:hint="eastAsia" w:ascii="宋体" w:hAnsi="宋体" w:eastAsia="宋体" w:cs="宋体"/>
                <w:i w:val="0"/>
                <w:iCs w:val="0"/>
                <w:color w:val="000000"/>
                <w:sz w:val="20"/>
                <w:szCs w:val="20"/>
                <w:u w:val="none"/>
              </w:rPr>
            </w:pPr>
          </w:p>
        </w:tc>
      </w:tr>
      <w:tr w14:paraId="4D920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E7758D">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7E2993">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2E60B7">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B3D0C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最低气温低于5℃前，应检查位于建筑出入口和电伴热保护末端等可能结冰的部位，确定防冻措施完好有效；</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184B93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按要求</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90F9B0">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C21CE5">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6D79D8">
            <w:pPr>
              <w:jc w:val="center"/>
              <w:rPr>
                <w:rFonts w:hint="eastAsia" w:ascii="宋体" w:hAnsi="宋体" w:eastAsia="宋体" w:cs="宋体"/>
                <w:i w:val="0"/>
                <w:iCs w:val="0"/>
                <w:color w:val="000000"/>
                <w:sz w:val="20"/>
                <w:szCs w:val="20"/>
                <w:u w:val="none"/>
              </w:rPr>
            </w:pPr>
          </w:p>
        </w:tc>
      </w:tr>
      <w:tr w14:paraId="07894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B1195A">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19CC11">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B8CF36">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4EA644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检查喷头外观，不应被异物遮挡或悬吊，喷头热敏元件不应被污染；</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57A5B1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BC3655">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08389E">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E673A8">
            <w:pPr>
              <w:jc w:val="center"/>
              <w:rPr>
                <w:rFonts w:hint="eastAsia" w:ascii="宋体" w:hAnsi="宋体" w:eastAsia="宋体" w:cs="宋体"/>
                <w:i w:val="0"/>
                <w:iCs w:val="0"/>
                <w:color w:val="000000"/>
                <w:sz w:val="20"/>
                <w:szCs w:val="20"/>
                <w:u w:val="none"/>
              </w:rPr>
            </w:pPr>
          </w:p>
        </w:tc>
      </w:tr>
      <w:tr w14:paraId="55B9F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521978">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FBE6F2">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02D73C">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0A1C3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检查喷头周围环境，在设计喷水范围内不应被严重遮挡；</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B343D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5CA4EA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清洁信号阀外观，必要时除锈补漆；</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276E26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33382A23">
            <w:pPr>
              <w:jc w:val="center"/>
              <w:rPr>
                <w:rFonts w:hint="eastAsia" w:ascii="宋体" w:hAnsi="宋体" w:eastAsia="宋体" w:cs="宋体"/>
                <w:i w:val="0"/>
                <w:iCs w:val="0"/>
                <w:color w:val="000000"/>
                <w:sz w:val="20"/>
                <w:szCs w:val="20"/>
                <w:u w:val="none"/>
              </w:rPr>
            </w:pPr>
          </w:p>
        </w:tc>
      </w:tr>
      <w:tr w14:paraId="14672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DB2F05">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8AB512">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6B244C">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84F6B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利用末端试水装置对水流指示器、报警阀压力开关等进行试验；</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1D2C9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CB1CE8">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5EB3BB">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7FA010">
            <w:pPr>
              <w:jc w:val="center"/>
              <w:rPr>
                <w:rFonts w:hint="eastAsia" w:ascii="宋体" w:hAnsi="宋体" w:eastAsia="宋体" w:cs="宋体"/>
                <w:i w:val="0"/>
                <w:iCs w:val="0"/>
                <w:color w:val="000000"/>
                <w:sz w:val="20"/>
                <w:szCs w:val="20"/>
                <w:u w:val="none"/>
              </w:rPr>
            </w:pPr>
          </w:p>
        </w:tc>
      </w:tr>
      <w:tr w14:paraId="0886E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074182">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0BEC5E">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1E1D8E">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9E005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对系统所有的末端试水阀和报警阀旁的放水试验阀进行1 次放水试验，检查系统启动、报警功能以及出水情况；</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4337E8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B0A80A">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F2C530">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C24595">
            <w:pPr>
              <w:jc w:val="center"/>
              <w:rPr>
                <w:rFonts w:hint="eastAsia" w:ascii="宋体" w:hAnsi="宋体" w:eastAsia="宋体" w:cs="宋体"/>
                <w:i w:val="0"/>
                <w:iCs w:val="0"/>
                <w:color w:val="000000"/>
                <w:sz w:val="20"/>
                <w:szCs w:val="20"/>
                <w:u w:val="none"/>
              </w:rPr>
            </w:pPr>
          </w:p>
        </w:tc>
      </w:tr>
      <w:tr w14:paraId="042AB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B91212">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F2E6E9">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379E98">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2C7C5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清洁信号阀开关指示牌，编号或位置标记牌应清晰可见；</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17CE56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496F59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对全部信号阀进行不少于2次全开全闭操作，并在外露螺纹处施涂润滑脂，如启闭困难应先使用润滑剂、除锈剂等处理，仍无效时应更换；</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51E025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1CA36B92">
            <w:pPr>
              <w:jc w:val="center"/>
              <w:rPr>
                <w:rFonts w:hint="eastAsia" w:ascii="宋体" w:hAnsi="宋体" w:eastAsia="宋体" w:cs="宋体"/>
                <w:i w:val="0"/>
                <w:iCs w:val="0"/>
                <w:color w:val="000000"/>
                <w:sz w:val="20"/>
                <w:szCs w:val="20"/>
                <w:u w:val="none"/>
              </w:rPr>
            </w:pPr>
          </w:p>
        </w:tc>
      </w:tr>
      <w:tr w14:paraId="464A7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13A360">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54603A">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9365A4">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EF540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检查阀门填料压盖、加油孔、阀盖与阀体连接及阀门法兰等处，应无渗漏；</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7004B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31FA0F">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533546">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2332E5">
            <w:pPr>
              <w:jc w:val="center"/>
              <w:rPr>
                <w:rFonts w:hint="eastAsia" w:ascii="宋体" w:hAnsi="宋体" w:eastAsia="宋体" w:cs="宋体"/>
                <w:i w:val="0"/>
                <w:iCs w:val="0"/>
                <w:color w:val="000000"/>
                <w:sz w:val="20"/>
                <w:szCs w:val="20"/>
                <w:u w:val="none"/>
              </w:rPr>
            </w:pPr>
          </w:p>
        </w:tc>
      </w:tr>
      <w:tr w14:paraId="7E788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71BE7B">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A11053">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1A6AA6">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BB5BE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检查并紧固信号阀支架和法兰连接处的螺栓，不应出现锈蚀现象；</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68747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13C914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在阀门阀杆螺纹及传动机构等处施加润滑脂，并启闭1～2次。</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152232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1913E65C">
            <w:pPr>
              <w:jc w:val="center"/>
              <w:rPr>
                <w:rFonts w:hint="eastAsia" w:ascii="宋体" w:hAnsi="宋体" w:eastAsia="宋体" w:cs="宋体"/>
                <w:i w:val="0"/>
                <w:iCs w:val="0"/>
                <w:color w:val="000000"/>
                <w:sz w:val="20"/>
                <w:szCs w:val="20"/>
                <w:u w:val="none"/>
              </w:rPr>
            </w:pPr>
          </w:p>
        </w:tc>
      </w:tr>
      <w:tr w14:paraId="2AE23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C8DDCF">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DDE0FD">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5F9EB3">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E1059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检查室外阀门井中的进水管控制阀门，应处于全开启状态。</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13EB4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10B3AB">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24CEA9">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2C981C">
            <w:pPr>
              <w:jc w:val="center"/>
              <w:rPr>
                <w:rFonts w:hint="eastAsia" w:ascii="宋体" w:hAnsi="宋体" w:eastAsia="宋体" w:cs="宋体"/>
                <w:i w:val="0"/>
                <w:iCs w:val="0"/>
                <w:color w:val="000000"/>
                <w:sz w:val="20"/>
                <w:szCs w:val="20"/>
                <w:u w:val="none"/>
              </w:rPr>
            </w:pPr>
          </w:p>
        </w:tc>
      </w:tr>
      <w:tr w14:paraId="6E78D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5D190B">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775D15">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200936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贮存装置</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75706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检查低压二氧化碳贮存装置的运行情况</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51D3D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每日</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365481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保养前应根据设计图纸等资料，仔细核对防护区、瓶组、启动瓶、控制装置、触发装置和启动按钮、模块等组件的标识与逻辑位置的对应关系，防止误操作；</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F420628">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4B5878F4">
            <w:pPr>
              <w:rPr>
                <w:rFonts w:hint="eastAsia" w:ascii="宋体" w:hAnsi="宋体" w:eastAsia="宋体" w:cs="宋体"/>
                <w:i w:val="0"/>
                <w:iCs w:val="0"/>
                <w:color w:val="000000"/>
                <w:sz w:val="20"/>
                <w:szCs w:val="20"/>
                <w:u w:val="none"/>
              </w:rPr>
            </w:pPr>
          </w:p>
        </w:tc>
      </w:tr>
      <w:tr w14:paraId="4AE68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DD484C">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6A3F28">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95A4F3">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B1C52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检查贮存装置周围环境，不应存在影响操作的杂物；</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D141D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7BDBD7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当保养工作可能会造成误动作系统时，应采取插保险销、止动销或者断开控制线等措施后方可进行。维修保养后应将设备复原，确保系统进入准工作状态；</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903AF86">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FB0901E">
            <w:pPr>
              <w:rPr>
                <w:rFonts w:hint="eastAsia" w:ascii="宋体" w:hAnsi="宋体" w:eastAsia="宋体" w:cs="宋体"/>
                <w:i w:val="0"/>
                <w:iCs w:val="0"/>
                <w:color w:val="000000"/>
                <w:sz w:val="20"/>
                <w:szCs w:val="20"/>
                <w:u w:val="none"/>
              </w:rPr>
            </w:pPr>
          </w:p>
        </w:tc>
      </w:tr>
      <w:tr w14:paraId="77AAA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DDBCF8">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CB5B78">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90065A">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4ED6BD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检查低压二氧化碳灭火系统贮存装置的液位计，灭火剂损失不应大于10%；</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D2ADF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2F5244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盛装下列气体的钢制无缝气瓶，自灭火剂充装之日起，每满五年的前一个月，应委托特种设备检验机构对气瓶及容器阀检验1次，应符合GB 13004、GB 25972的相关规定</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1F7697C">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3ECA86E1">
            <w:pPr>
              <w:rPr>
                <w:rFonts w:hint="eastAsia" w:ascii="宋体" w:hAnsi="宋体" w:eastAsia="宋体" w:cs="宋体"/>
                <w:i w:val="0"/>
                <w:iCs w:val="0"/>
                <w:color w:val="000000"/>
                <w:sz w:val="20"/>
                <w:szCs w:val="20"/>
                <w:u w:val="none"/>
              </w:rPr>
            </w:pPr>
          </w:p>
        </w:tc>
      </w:tr>
      <w:tr w14:paraId="3661E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3EE105">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BDA71F">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CB683B">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267B8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检查贮存容器有无碰撞变形及其他机械性损伤，表面应无锈蚀，保护涂层应完好，铭牌和保护对象标识牌应清晰，安全标识应完整；</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09B00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4D2AE7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盛装下列气体的钢制焊接压力容器或气瓶，自灭火剂充装之日起，每满三年的前一个月，应委托特种设备检验机构对气瓶及容器阀检验1次，应符合GB 13075、TSG R0004的相关规定</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E15E50F">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729A6D45">
            <w:pPr>
              <w:rPr>
                <w:rFonts w:hint="eastAsia" w:ascii="宋体" w:hAnsi="宋体" w:eastAsia="宋体" w:cs="宋体"/>
                <w:i w:val="0"/>
                <w:iCs w:val="0"/>
                <w:color w:val="000000"/>
                <w:sz w:val="20"/>
                <w:szCs w:val="20"/>
                <w:u w:val="none"/>
              </w:rPr>
            </w:pPr>
          </w:p>
        </w:tc>
      </w:tr>
      <w:tr w14:paraId="01438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4EFB94">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1DD5C2">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ABD2C0">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59BF4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检查IG541、七氟丙烷等灭火剂和驱动气体贮存容器的压力表，指针应处于绿色区域内且不得小于设计贮存压力的90%；</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CD9F7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695BE1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盛装驱动气体的气瓶自灭火剂充装之日起，每满五年的前一个月，应委托气瓶检验机构对气瓶及容器阀检验1次，气瓶检验及水压试验方法应符合GB 13004、GB 25972的相关规定，水压强度试验压力（TP)应为25.8MPa，取得合格检验报告后，由具备灭火剂充装资质的机构充装符合强制性产品认证要求的驱动气体，其中压力容器水压强度试验应为相应系统最大工作压力的1.5倍；</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EB234EC">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6DBFD3A1">
            <w:pPr>
              <w:rPr>
                <w:rFonts w:hint="eastAsia" w:ascii="宋体" w:hAnsi="宋体" w:eastAsia="宋体" w:cs="宋体"/>
                <w:i w:val="0"/>
                <w:iCs w:val="0"/>
                <w:color w:val="000000"/>
                <w:sz w:val="20"/>
                <w:szCs w:val="20"/>
                <w:u w:val="none"/>
              </w:rPr>
            </w:pPr>
          </w:p>
        </w:tc>
      </w:tr>
      <w:tr w14:paraId="15304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555508">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7C573C">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BC7A33">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67D8D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检查贮存装置间设备支、框架的固定，应无松动，连接管应无变形、裂纹及老化现象。</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08BD9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0385F1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低压二氧化碳灭火系统贮存装置的液位计显示灭火剂损失超过10%，应由具备气瓶充装资质的机构充装符合强制性产品认证要求的二氧化碳灭火剂。</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6DFF0A4">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7E4573E1">
            <w:pPr>
              <w:rPr>
                <w:rFonts w:hint="eastAsia" w:ascii="宋体" w:hAnsi="宋体" w:eastAsia="宋体" w:cs="宋体"/>
                <w:i w:val="0"/>
                <w:iCs w:val="0"/>
                <w:color w:val="000000"/>
                <w:sz w:val="20"/>
                <w:szCs w:val="20"/>
                <w:u w:val="none"/>
              </w:rPr>
            </w:pPr>
          </w:p>
        </w:tc>
      </w:tr>
      <w:tr w14:paraId="3BAB5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C2AA68">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CAFBBF">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462852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系统组件</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76BE7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检查系统组件，应无碰撞变形及其他机械性损伤，表面无锈蚀，保护涂层完好，铭牌和保护对象标识牌清晰，手动操作装置的防护罩、铅封和安全标识应完整；</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042A1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538A02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清洁系统组件，轻微锈蚀、保护涂层缺失先磨光再施涂面漆，恢复缺损的铭牌和保护对象标识牌；</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FBE519E">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49986634">
            <w:pPr>
              <w:rPr>
                <w:rFonts w:hint="eastAsia" w:ascii="宋体" w:hAnsi="宋体" w:eastAsia="宋体" w:cs="宋体"/>
                <w:i w:val="0"/>
                <w:iCs w:val="0"/>
                <w:color w:val="000000"/>
                <w:sz w:val="20"/>
                <w:szCs w:val="20"/>
                <w:u w:val="none"/>
              </w:rPr>
            </w:pPr>
          </w:p>
        </w:tc>
      </w:tr>
      <w:tr w14:paraId="7DF7D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E6C234">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12BE5D">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22A4B7">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FB1D2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检查压力表、温度计，应符合设计要求，或参照表1确定；</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89560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69C7BD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紧固松脱的阀驱动装置启动管路接口；</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06D702B8">
            <w:pPr>
              <w:jc w:val="center"/>
              <w:rPr>
                <w:rFonts w:hint="eastAsia" w:ascii="宋体" w:hAnsi="宋体" w:eastAsia="宋体" w:cs="宋体"/>
                <w:i w:val="0"/>
                <w:iCs w:val="0"/>
                <w:color w:val="000000"/>
                <w:sz w:val="20"/>
                <w:szCs w:val="20"/>
                <w:u w:val="none"/>
              </w:rPr>
            </w:pP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1C5CBCDB">
            <w:pPr>
              <w:jc w:val="center"/>
              <w:rPr>
                <w:rFonts w:hint="eastAsia" w:ascii="宋体" w:hAnsi="宋体" w:eastAsia="宋体" w:cs="宋体"/>
                <w:i w:val="0"/>
                <w:iCs w:val="0"/>
                <w:color w:val="000000"/>
                <w:sz w:val="20"/>
                <w:szCs w:val="20"/>
                <w:u w:val="none"/>
              </w:rPr>
            </w:pPr>
          </w:p>
        </w:tc>
      </w:tr>
      <w:tr w14:paraId="06CA6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BD23B0">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F7070E">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1EFDF2">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F5950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检查全部高压二氧化碳贮存容器的称重装置，模拟减重后，观察报警信号输出；</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9B303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CE5962">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3BA004">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A2A0BA">
            <w:pPr>
              <w:jc w:val="center"/>
              <w:rPr>
                <w:rFonts w:hint="eastAsia" w:ascii="宋体" w:hAnsi="宋体" w:eastAsia="宋体" w:cs="宋体"/>
                <w:i w:val="0"/>
                <w:iCs w:val="0"/>
                <w:color w:val="000000"/>
                <w:sz w:val="20"/>
                <w:szCs w:val="20"/>
                <w:u w:val="none"/>
              </w:rPr>
            </w:pPr>
          </w:p>
        </w:tc>
      </w:tr>
      <w:tr w14:paraId="6DB5B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110D9A">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E79E97">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A8943E">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436FA7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使用拉力计等检测仪表校准高压二氧化碳贮存容器称重装置的失重警报信号阈值，灭火剂净重小于设计贮存量的90%时应能报警；</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E0352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2809F6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恢复缺损的手动操作装置防护罩、铅封和安全标识；</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15381348">
            <w:pPr>
              <w:jc w:val="center"/>
              <w:rPr>
                <w:rFonts w:hint="eastAsia" w:ascii="宋体" w:hAnsi="宋体" w:eastAsia="宋体" w:cs="宋体"/>
                <w:i w:val="0"/>
                <w:iCs w:val="0"/>
                <w:color w:val="000000"/>
                <w:sz w:val="20"/>
                <w:szCs w:val="20"/>
                <w:u w:val="none"/>
              </w:rPr>
            </w:pP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3869E8E7">
            <w:pPr>
              <w:jc w:val="center"/>
              <w:rPr>
                <w:rFonts w:hint="eastAsia" w:ascii="宋体" w:hAnsi="宋体" w:eastAsia="宋体" w:cs="宋体"/>
                <w:i w:val="0"/>
                <w:iCs w:val="0"/>
                <w:color w:val="000000"/>
                <w:sz w:val="20"/>
                <w:szCs w:val="20"/>
                <w:u w:val="none"/>
              </w:rPr>
            </w:pPr>
          </w:p>
        </w:tc>
      </w:tr>
      <w:tr w14:paraId="5AF8A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CD1DF6">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37E4AD">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018862">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4C12E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检查安全泄放装置、选择阀、信号反馈装置、减压装置周围环境，不应存在杂物或影响操作的障碍物；</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D109D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4CFB8E">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761540">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0AFD5B">
            <w:pPr>
              <w:jc w:val="center"/>
              <w:rPr>
                <w:rFonts w:hint="eastAsia" w:ascii="宋体" w:hAnsi="宋体" w:eastAsia="宋体" w:cs="宋体"/>
                <w:i w:val="0"/>
                <w:iCs w:val="0"/>
                <w:color w:val="000000"/>
                <w:sz w:val="20"/>
                <w:szCs w:val="20"/>
                <w:u w:val="none"/>
              </w:rPr>
            </w:pPr>
          </w:p>
        </w:tc>
      </w:tr>
      <w:tr w14:paraId="047B8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5F6332">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399C7E">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226087">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427A57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检查安全释放阀铅封,不应被拆掉或破坏；</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18BBCB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5C5ECD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清理安全泄放装置、选择阀、信号反馈装置、减压装置周围的障碍物；</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4D705305">
            <w:pPr>
              <w:jc w:val="center"/>
              <w:rPr>
                <w:rFonts w:hint="eastAsia" w:ascii="宋体" w:hAnsi="宋体" w:eastAsia="宋体" w:cs="宋体"/>
                <w:i w:val="0"/>
                <w:iCs w:val="0"/>
                <w:color w:val="000000"/>
                <w:sz w:val="20"/>
                <w:szCs w:val="20"/>
                <w:u w:val="none"/>
              </w:rPr>
            </w:pP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105FA055">
            <w:pPr>
              <w:jc w:val="center"/>
              <w:rPr>
                <w:rFonts w:hint="eastAsia" w:ascii="宋体" w:hAnsi="宋体" w:eastAsia="宋体" w:cs="宋体"/>
                <w:i w:val="0"/>
                <w:iCs w:val="0"/>
                <w:color w:val="000000"/>
                <w:sz w:val="20"/>
                <w:szCs w:val="20"/>
                <w:u w:val="none"/>
              </w:rPr>
            </w:pPr>
          </w:p>
        </w:tc>
      </w:tr>
      <w:tr w14:paraId="5923D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B98A56">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C975C6">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7CB68D">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6618A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检查操作装置对应的防护区标识，应准确、完整、清晰；</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57EC46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3CA908">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25869D">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068735">
            <w:pPr>
              <w:jc w:val="center"/>
              <w:rPr>
                <w:rFonts w:hint="eastAsia" w:ascii="宋体" w:hAnsi="宋体" w:eastAsia="宋体" w:cs="宋体"/>
                <w:i w:val="0"/>
                <w:iCs w:val="0"/>
                <w:color w:val="000000"/>
                <w:sz w:val="20"/>
                <w:szCs w:val="20"/>
                <w:u w:val="none"/>
              </w:rPr>
            </w:pPr>
          </w:p>
        </w:tc>
      </w:tr>
      <w:tr w14:paraId="33870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E10731">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DAF5C2">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6204DB">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8E62F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检查阀驱动装置连接的全部启动管路的接口，应紧固；</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614ED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47DD67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安全释放阀铅封拆掉或动过，应通知厂家调整或校准后恢复，清理并保持安全释放阀出口畅通；</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1780D977">
            <w:pPr>
              <w:jc w:val="center"/>
              <w:rPr>
                <w:rFonts w:hint="eastAsia" w:ascii="宋体" w:hAnsi="宋体" w:eastAsia="宋体" w:cs="宋体"/>
                <w:i w:val="0"/>
                <w:iCs w:val="0"/>
                <w:color w:val="000000"/>
                <w:sz w:val="20"/>
                <w:szCs w:val="20"/>
                <w:u w:val="none"/>
              </w:rPr>
            </w:pP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57A5CCD9">
            <w:pPr>
              <w:jc w:val="center"/>
              <w:rPr>
                <w:rFonts w:hint="eastAsia" w:ascii="宋体" w:hAnsi="宋体" w:eastAsia="宋体" w:cs="宋体"/>
                <w:i w:val="0"/>
                <w:iCs w:val="0"/>
                <w:color w:val="000000"/>
                <w:sz w:val="20"/>
                <w:szCs w:val="20"/>
                <w:u w:val="none"/>
              </w:rPr>
            </w:pPr>
          </w:p>
        </w:tc>
      </w:tr>
      <w:tr w14:paraId="7BEF0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D71D71">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82C371">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7CCA19">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C1CA1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检查连接软管，不应有变形、裂纹及老化现象；</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4591E0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D35F51">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A264B2">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D55BD2">
            <w:pPr>
              <w:jc w:val="center"/>
              <w:rPr>
                <w:rFonts w:hint="eastAsia" w:ascii="宋体" w:hAnsi="宋体" w:eastAsia="宋体" w:cs="宋体"/>
                <w:i w:val="0"/>
                <w:iCs w:val="0"/>
                <w:color w:val="000000"/>
                <w:sz w:val="20"/>
                <w:szCs w:val="20"/>
                <w:u w:val="none"/>
              </w:rPr>
            </w:pPr>
          </w:p>
        </w:tc>
      </w:tr>
      <w:tr w14:paraId="7DCF2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C3A864">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F16917">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B6BFE9">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F36BF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应按GB 50263的相关规定，以自动启动方式对气体灭火系统每个防护区进行1次模拟启动试验；</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4220C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每半年</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3D4862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恢复缺损的操作装置对应的防护区标识。</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130742D8">
            <w:pPr>
              <w:jc w:val="center"/>
              <w:rPr>
                <w:rFonts w:hint="eastAsia" w:ascii="宋体" w:hAnsi="宋体" w:eastAsia="宋体" w:cs="宋体"/>
                <w:i w:val="0"/>
                <w:iCs w:val="0"/>
                <w:color w:val="000000"/>
                <w:sz w:val="20"/>
                <w:szCs w:val="20"/>
                <w:u w:val="none"/>
              </w:rPr>
            </w:pP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111B8A9C">
            <w:pPr>
              <w:jc w:val="center"/>
              <w:rPr>
                <w:rFonts w:hint="eastAsia" w:ascii="宋体" w:hAnsi="宋体" w:eastAsia="宋体" w:cs="宋体"/>
                <w:i w:val="0"/>
                <w:iCs w:val="0"/>
                <w:color w:val="000000"/>
                <w:sz w:val="20"/>
                <w:szCs w:val="20"/>
                <w:u w:val="none"/>
              </w:rPr>
            </w:pPr>
          </w:p>
        </w:tc>
      </w:tr>
      <w:tr w14:paraId="56643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E59F88">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66228E">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CF8801">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922E7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应按GB 50263的相关规定，以自动启动方式对气体灭火系统每个防护区进行1次模拟喷气试验。</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BDE8B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0A3D3D">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55AF2B">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84BA0E">
            <w:pPr>
              <w:jc w:val="center"/>
              <w:rPr>
                <w:rFonts w:hint="eastAsia" w:ascii="宋体" w:hAnsi="宋体" w:eastAsia="宋体" w:cs="宋体"/>
                <w:i w:val="0"/>
                <w:iCs w:val="0"/>
                <w:color w:val="000000"/>
                <w:sz w:val="20"/>
                <w:szCs w:val="20"/>
                <w:u w:val="none"/>
              </w:rPr>
            </w:pPr>
          </w:p>
        </w:tc>
      </w:tr>
      <w:tr w14:paraId="06B58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73328A">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172DB3">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7F12C7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管网和喷嘴</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4D56F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检查管网和喷嘴,应无碰撞变形及其他机械性损伤，表面无锈蚀，保护涂层完好，铭牌和保护对象标识牌清晰，手动操作装置的防护罩、铅封和安全标识应完整；</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464D34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443BF0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紧固松动的管道及固定支（框）架；</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B653E03">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086DF15F">
            <w:pPr>
              <w:rPr>
                <w:rFonts w:hint="eastAsia" w:ascii="宋体" w:hAnsi="宋体" w:eastAsia="宋体" w:cs="宋体"/>
                <w:i w:val="0"/>
                <w:iCs w:val="0"/>
                <w:color w:val="000000"/>
                <w:sz w:val="20"/>
                <w:szCs w:val="20"/>
                <w:u w:val="none"/>
              </w:rPr>
            </w:pPr>
          </w:p>
        </w:tc>
      </w:tr>
      <w:tr w14:paraId="7A128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24CC77">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B48CE1">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0AB250">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5D779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检查喷嘴通畅情况；</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20D3E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6FA24D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紧固松脱的启动管路接口；</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78B8461">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66BC2C75">
            <w:pPr>
              <w:rPr>
                <w:rFonts w:hint="eastAsia" w:ascii="宋体" w:hAnsi="宋体" w:eastAsia="宋体" w:cs="宋体"/>
                <w:i w:val="0"/>
                <w:iCs w:val="0"/>
                <w:color w:val="000000"/>
                <w:sz w:val="20"/>
                <w:szCs w:val="20"/>
                <w:u w:val="none"/>
              </w:rPr>
            </w:pPr>
          </w:p>
        </w:tc>
      </w:tr>
      <w:tr w14:paraId="58FCB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182317">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CF1C82">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3E13D0">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4264D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检查喷嘴完好情况，清理与被保护对象之间的遮挡物；</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20AB0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0D5661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管道表面防腐涂层、镀层脱落，先打磨光亮，再施涂面漆；</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6A0D51E">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59791F1">
            <w:pPr>
              <w:rPr>
                <w:rFonts w:hint="eastAsia" w:ascii="宋体" w:hAnsi="宋体" w:eastAsia="宋体" w:cs="宋体"/>
                <w:i w:val="0"/>
                <w:iCs w:val="0"/>
                <w:color w:val="000000"/>
                <w:sz w:val="20"/>
                <w:szCs w:val="20"/>
                <w:u w:val="none"/>
              </w:rPr>
            </w:pPr>
          </w:p>
        </w:tc>
      </w:tr>
      <w:tr w14:paraId="5B48C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97264E">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45D6F2">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B36452">
            <w:pPr>
              <w:jc w:val="center"/>
              <w:rPr>
                <w:rFonts w:hint="eastAsia" w:ascii="宋体" w:hAnsi="宋体" w:eastAsia="宋体" w:cs="宋体"/>
                <w:i w:val="0"/>
                <w:iCs w:val="0"/>
                <w:color w:val="000000"/>
                <w:sz w:val="20"/>
                <w:szCs w:val="20"/>
                <w:u w:val="none"/>
              </w:rPr>
            </w:pPr>
          </w:p>
        </w:tc>
        <w:tc>
          <w:tcPr>
            <w:tcW w:w="3994" w:type="dxa"/>
            <w:vMerge w:val="restart"/>
            <w:tcBorders>
              <w:top w:val="single" w:color="000000" w:sz="4" w:space="0"/>
              <w:left w:val="single" w:color="000000" w:sz="4" w:space="0"/>
              <w:bottom w:val="single" w:color="000000" w:sz="4" w:space="0"/>
              <w:right w:val="single" w:color="000000" w:sz="4" w:space="0"/>
            </w:tcBorders>
            <w:noWrap w:val="0"/>
            <w:vAlign w:val="center"/>
          </w:tcPr>
          <w:p w14:paraId="0F96AF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检查管网、管件、喷嘴固定情况，不应有螺栓松动、缺失现象。</w:t>
            </w:r>
          </w:p>
        </w:tc>
        <w:tc>
          <w:tcPr>
            <w:tcW w:w="1078" w:type="dxa"/>
            <w:vMerge w:val="restart"/>
            <w:tcBorders>
              <w:top w:val="single" w:color="000000" w:sz="4" w:space="0"/>
              <w:left w:val="single" w:color="000000" w:sz="4" w:space="0"/>
              <w:bottom w:val="single" w:color="000000" w:sz="4" w:space="0"/>
              <w:right w:val="single" w:color="000000" w:sz="4" w:space="0"/>
            </w:tcBorders>
            <w:noWrap w:val="0"/>
            <w:vAlign w:val="center"/>
          </w:tcPr>
          <w:p w14:paraId="6F51DE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2E446C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管网、管件、法兰、喷嘴固定支（框）架、防晃架等固定螺栓有松动、缺失的应紧固、补齐，处于潮湿或露天场所的应在可见螺纹处施涂润滑脂；</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536C19D">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6CCAFC24">
            <w:pPr>
              <w:rPr>
                <w:rFonts w:hint="eastAsia" w:ascii="宋体" w:hAnsi="宋体" w:eastAsia="宋体" w:cs="宋体"/>
                <w:i w:val="0"/>
                <w:iCs w:val="0"/>
                <w:color w:val="000000"/>
                <w:sz w:val="20"/>
                <w:szCs w:val="20"/>
                <w:u w:val="none"/>
              </w:rPr>
            </w:pPr>
          </w:p>
        </w:tc>
      </w:tr>
      <w:tr w14:paraId="11B6C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D955A0">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731B50">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DB87B7">
            <w:pPr>
              <w:jc w:val="center"/>
              <w:rPr>
                <w:rFonts w:hint="eastAsia" w:ascii="宋体" w:hAnsi="宋体" w:eastAsia="宋体" w:cs="宋体"/>
                <w:i w:val="0"/>
                <w:iCs w:val="0"/>
                <w:color w:val="000000"/>
                <w:sz w:val="20"/>
                <w:szCs w:val="20"/>
                <w:u w:val="none"/>
              </w:rPr>
            </w:pPr>
          </w:p>
        </w:tc>
        <w:tc>
          <w:tcPr>
            <w:tcW w:w="39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7D6EF6">
            <w:pPr>
              <w:jc w:val="center"/>
              <w:rPr>
                <w:rFonts w:hint="eastAsia" w:ascii="宋体" w:hAnsi="宋体" w:eastAsia="宋体" w:cs="宋体"/>
                <w:i w:val="0"/>
                <w:iCs w:val="0"/>
                <w:color w:val="000000"/>
                <w:sz w:val="20"/>
                <w:szCs w:val="20"/>
                <w:u w:val="none"/>
              </w:rPr>
            </w:pPr>
          </w:p>
        </w:tc>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69F43E">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3B1B1B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应对室内管网和喷嘴进行1次吹扫，每年应对室外管网和喷嘴进行1次吹扫，保持管网畅通，吹扫应从喷嘴向干管方向进行，气流流速不应小于20m/s。</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B6DB8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每两年</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6CA2B82">
            <w:pPr>
              <w:rPr>
                <w:rFonts w:hint="eastAsia" w:ascii="宋体" w:hAnsi="宋体" w:eastAsia="宋体" w:cs="宋体"/>
                <w:i w:val="0"/>
                <w:iCs w:val="0"/>
                <w:color w:val="000000"/>
                <w:sz w:val="20"/>
                <w:szCs w:val="20"/>
                <w:u w:val="none"/>
              </w:rPr>
            </w:pPr>
          </w:p>
        </w:tc>
      </w:tr>
      <w:tr w14:paraId="45629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72" w:type="dxa"/>
            <w:vMerge w:val="restart"/>
            <w:tcBorders>
              <w:top w:val="single" w:color="000000" w:sz="4" w:space="0"/>
              <w:left w:val="single" w:color="000000" w:sz="4" w:space="0"/>
              <w:bottom w:val="single" w:color="000000" w:sz="4" w:space="0"/>
              <w:right w:val="single" w:color="000000" w:sz="4" w:space="0"/>
            </w:tcBorders>
            <w:noWrap w:val="0"/>
            <w:vAlign w:val="center"/>
          </w:tcPr>
          <w:p w14:paraId="361CE38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w:t>
            </w:r>
          </w:p>
        </w:tc>
        <w:tc>
          <w:tcPr>
            <w:tcW w:w="1341" w:type="dxa"/>
            <w:vMerge w:val="restart"/>
            <w:tcBorders>
              <w:top w:val="single" w:color="000000" w:sz="4" w:space="0"/>
              <w:left w:val="single" w:color="000000" w:sz="4" w:space="0"/>
              <w:bottom w:val="single" w:color="000000" w:sz="4" w:space="0"/>
              <w:right w:val="single" w:color="000000" w:sz="4" w:space="0"/>
            </w:tcBorders>
            <w:noWrap w:val="0"/>
            <w:vAlign w:val="center"/>
          </w:tcPr>
          <w:p w14:paraId="6B7F97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防烟排烟系统</w:t>
            </w: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72FDF2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风机</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44DDC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检查安装螺栓有无锈蚀、松动，风机的安装基础和支吊架应牢固，风机驱动装置外露部分防护罩、进出风口防护网或其他安全设施、防雨设施应完好有效；</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0845F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59A55C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清除螺栓锈蚀部分，紧固松动的螺栓，加固风机安装基础和支吊架；</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3FD86BF2">
            <w:pPr>
              <w:jc w:val="center"/>
              <w:rPr>
                <w:rFonts w:hint="eastAsia" w:ascii="宋体" w:hAnsi="宋体" w:eastAsia="宋体" w:cs="宋体"/>
                <w:i w:val="0"/>
                <w:iCs w:val="0"/>
                <w:color w:val="000000"/>
                <w:sz w:val="20"/>
                <w:szCs w:val="20"/>
                <w:u w:val="none"/>
              </w:rPr>
            </w:pP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2201260F">
            <w:pPr>
              <w:jc w:val="center"/>
              <w:rPr>
                <w:rFonts w:hint="eastAsia" w:ascii="宋体" w:hAnsi="宋体" w:eastAsia="宋体" w:cs="宋体"/>
                <w:i w:val="0"/>
                <w:iCs w:val="0"/>
                <w:color w:val="000000"/>
                <w:sz w:val="20"/>
                <w:szCs w:val="20"/>
                <w:u w:val="none"/>
              </w:rPr>
            </w:pPr>
          </w:p>
        </w:tc>
      </w:tr>
      <w:tr w14:paraId="6C74E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19F0BC">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FF1B8E">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14C76B">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BA9D2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检查风机房，应符合设计要求；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479937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9406FA">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790C39">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52051C">
            <w:pPr>
              <w:jc w:val="center"/>
              <w:rPr>
                <w:rFonts w:hint="eastAsia" w:ascii="宋体" w:hAnsi="宋体" w:eastAsia="宋体" w:cs="宋体"/>
                <w:i w:val="0"/>
                <w:iCs w:val="0"/>
                <w:color w:val="000000"/>
                <w:sz w:val="20"/>
                <w:szCs w:val="20"/>
                <w:u w:val="none"/>
              </w:rPr>
            </w:pPr>
          </w:p>
        </w:tc>
      </w:tr>
      <w:tr w14:paraId="10555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DD5048">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1C5701">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0A8974">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FB06D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检查传动机构，应无变形、损伤，叶轮不应与外壳接触；</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425D23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41FBF6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清除风机房周围可燃物；</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4B376F6E">
            <w:pPr>
              <w:jc w:val="center"/>
              <w:rPr>
                <w:rFonts w:hint="eastAsia" w:ascii="宋体" w:hAnsi="宋体" w:eastAsia="宋体" w:cs="宋体"/>
                <w:i w:val="0"/>
                <w:iCs w:val="0"/>
                <w:color w:val="000000"/>
                <w:sz w:val="20"/>
                <w:szCs w:val="20"/>
                <w:u w:val="none"/>
              </w:rPr>
            </w:pP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5674C63A">
            <w:pPr>
              <w:jc w:val="center"/>
              <w:rPr>
                <w:rFonts w:hint="eastAsia" w:ascii="宋体" w:hAnsi="宋体" w:eastAsia="宋体" w:cs="宋体"/>
                <w:i w:val="0"/>
                <w:iCs w:val="0"/>
                <w:color w:val="000000"/>
                <w:sz w:val="20"/>
                <w:szCs w:val="20"/>
                <w:u w:val="none"/>
              </w:rPr>
            </w:pPr>
          </w:p>
        </w:tc>
      </w:tr>
      <w:tr w14:paraId="12ECC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B4C834">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7A0AF2">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F6EFF6">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2F25A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检查电动机接线应无松动，外壳应无腐蚀；</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4ADB2C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0DB057">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059340">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F15256">
            <w:pPr>
              <w:jc w:val="center"/>
              <w:rPr>
                <w:rFonts w:hint="eastAsia" w:ascii="宋体" w:hAnsi="宋体" w:eastAsia="宋体" w:cs="宋体"/>
                <w:i w:val="0"/>
                <w:iCs w:val="0"/>
                <w:color w:val="000000"/>
                <w:sz w:val="20"/>
                <w:szCs w:val="20"/>
                <w:u w:val="none"/>
              </w:rPr>
            </w:pPr>
          </w:p>
        </w:tc>
      </w:tr>
      <w:tr w14:paraId="46D0D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C4739C">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F35BD9">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C61E2E">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DB186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检查电源供电情况，电压表、电源指示灯应正常；</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8A621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2FFEFA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紧固电动机接线端子，外壳除锈防腐；</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180871B8">
            <w:pPr>
              <w:jc w:val="center"/>
              <w:rPr>
                <w:rFonts w:hint="eastAsia" w:ascii="宋体" w:hAnsi="宋体" w:eastAsia="宋体" w:cs="宋体"/>
                <w:i w:val="0"/>
                <w:iCs w:val="0"/>
                <w:color w:val="000000"/>
                <w:sz w:val="20"/>
                <w:szCs w:val="20"/>
                <w:u w:val="none"/>
              </w:rPr>
            </w:pP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06F89958">
            <w:pPr>
              <w:jc w:val="center"/>
              <w:rPr>
                <w:rFonts w:hint="eastAsia" w:ascii="宋体" w:hAnsi="宋体" w:eastAsia="宋体" w:cs="宋体"/>
                <w:i w:val="0"/>
                <w:iCs w:val="0"/>
                <w:color w:val="000000"/>
                <w:sz w:val="20"/>
                <w:szCs w:val="20"/>
                <w:u w:val="none"/>
              </w:rPr>
            </w:pPr>
          </w:p>
        </w:tc>
      </w:tr>
      <w:tr w14:paraId="2A2B3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80A6CC">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9C3040">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3B5C7B">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73507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检查轴承部分润滑油状态及液位，应符合设计要求；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545919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9D7D14">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676FD1">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FAB440">
            <w:pPr>
              <w:jc w:val="center"/>
              <w:rPr>
                <w:rFonts w:hint="eastAsia" w:ascii="宋体" w:hAnsi="宋体" w:eastAsia="宋体" w:cs="宋体"/>
                <w:i w:val="0"/>
                <w:iCs w:val="0"/>
                <w:color w:val="000000"/>
                <w:sz w:val="20"/>
                <w:szCs w:val="20"/>
                <w:u w:val="none"/>
              </w:rPr>
            </w:pPr>
          </w:p>
        </w:tc>
      </w:tr>
      <w:tr w14:paraId="75277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5D53E9">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1A2F19">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915A84">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5112A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检查传动皮带，应无松动，联轴器应牢固；</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4B860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0DBE90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清除轴承润滑部位脏污、泥沙、尘土，补充润滑油；</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26123F4A">
            <w:pPr>
              <w:jc w:val="center"/>
              <w:rPr>
                <w:rFonts w:hint="eastAsia" w:ascii="宋体" w:hAnsi="宋体" w:eastAsia="宋体" w:cs="宋体"/>
                <w:i w:val="0"/>
                <w:iCs w:val="0"/>
                <w:color w:val="000000"/>
                <w:sz w:val="20"/>
                <w:szCs w:val="20"/>
                <w:u w:val="none"/>
              </w:rPr>
            </w:pP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4500DF55">
            <w:pPr>
              <w:jc w:val="center"/>
              <w:rPr>
                <w:rFonts w:hint="eastAsia" w:ascii="宋体" w:hAnsi="宋体" w:eastAsia="宋体" w:cs="宋体"/>
                <w:i w:val="0"/>
                <w:iCs w:val="0"/>
                <w:color w:val="000000"/>
                <w:sz w:val="20"/>
                <w:szCs w:val="20"/>
                <w:u w:val="none"/>
              </w:rPr>
            </w:pPr>
          </w:p>
        </w:tc>
      </w:tr>
      <w:tr w14:paraId="0E315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D6FCCA">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7C3178">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4CCC09">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B4613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检查电动机运转及启停状态信号反馈功能，应正常；</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65508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236E10">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5AD99C">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58D1F5">
            <w:pPr>
              <w:jc w:val="center"/>
              <w:rPr>
                <w:rFonts w:hint="eastAsia" w:ascii="宋体" w:hAnsi="宋体" w:eastAsia="宋体" w:cs="宋体"/>
                <w:i w:val="0"/>
                <w:iCs w:val="0"/>
                <w:color w:val="000000"/>
                <w:sz w:val="20"/>
                <w:szCs w:val="20"/>
                <w:u w:val="none"/>
              </w:rPr>
            </w:pPr>
          </w:p>
        </w:tc>
      </w:tr>
      <w:tr w14:paraId="370C5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0719A4">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340EAD">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421C13">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20E12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进行1次功能检测试验及供电线路检查；</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46FDD4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1526A7">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FB0CE3">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7E3770">
            <w:pPr>
              <w:jc w:val="center"/>
              <w:rPr>
                <w:rFonts w:hint="eastAsia" w:ascii="宋体" w:hAnsi="宋体" w:eastAsia="宋体" w:cs="宋体"/>
                <w:i w:val="0"/>
                <w:iCs w:val="0"/>
                <w:color w:val="000000"/>
                <w:sz w:val="20"/>
                <w:szCs w:val="20"/>
                <w:u w:val="none"/>
              </w:rPr>
            </w:pPr>
          </w:p>
        </w:tc>
      </w:tr>
      <w:tr w14:paraId="129F1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2262F7">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4DA489">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ABE6D9">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26987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对全部防烟、排烟系统进行1次联动试验和性能检测，其联动功能和性能参数应符合原设计要求；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0AC2D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4982E3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调整传动皮带松紧，加固联轴器。</w:t>
            </w:r>
          </w:p>
        </w:tc>
        <w:tc>
          <w:tcPr>
            <w:tcW w:w="1050" w:type="dxa"/>
            <w:vMerge w:val="restart"/>
            <w:tcBorders>
              <w:top w:val="single" w:color="000000" w:sz="4" w:space="0"/>
              <w:left w:val="single" w:color="000000" w:sz="4" w:space="0"/>
              <w:bottom w:val="single" w:color="000000" w:sz="4" w:space="0"/>
              <w:right w:val="single" w:color="000000" w:sz="4" w:space="0"/>
            </w:tcBorders>
            <w:noWrap/>
            <w:vAlign w:val="center"/>
          </w:tcPr>
          <w:p w14:paraId="7BFE5671">
            <w:pPr>
              <w:jc w:val="center"/>
              <w:rPr>
                <w:rFonts w:hint="eastAsia" w:ascii="宋体" w:hAnsi="宋体" w:eastAsia="宋体" w:cs="宋体"/>
                <w:i w:val="0"/>
                <w:iCs w:val="0"/>
                <w:color w:val="000000"/>
                <w:sz w:val="20"/>
                <w:szCs w:val="20"/>
                <w:u w:val="none"/>
              </w:rPr>
            </w:pPr>
          </w:p>
        </w:tc>
        <w:tc>
          <w:tcPr>
            <w:tcW w:w="806" w:type="dxa"/>
            <w:vMerge w:val="restart"/>
            <w:tcBorders>
              <w:top w:val="single" w:color="000000" w:sz="4" w:space="0"/>
              <w:left w:val="single" w:color="000000" w:sz="4" w:space="0"/>
              <w:bottom w:val="single" w:color="000000" w:sz="4" w:space="0"/>
              <w:right w:val="single" w:color="000000" w:sz="4" w:space="0"/>
            </w:tcBorders>
            <w:noWrap/>
            <w:vAlign w:val="center"/>
          </w:tcPr>
          <w:p w14:paraId="4FA95442">
            <w:pPr>
              <w:jc w:val="center"/>
              <w:rPr>
                <w:rFonts w:hint="eastAsia" w:ascii="宋体" w:hAnsi="宋体" w:eastAsia="宋体" w:cs="宋体"/>
                <w:i w:val="0"/>
                <w:iCs w:val="0"/>
                <w:color w:val="000000"/>
                <w:sz w:val="20"/>
                <w:szCs w:val="20"/>
                <w:u w:val="none"/>
              </w:rPr>
            </w:pPr>
          </w:p>
        </w:tc>
      </w:tr>
      <w:tr w14:paraId="08668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396FFD">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D0EE83">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AA30D1">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67301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加压送风量应满足走廊至前室至楼梯间的压力递增分布，余压值应满足前室、封闭避难层（间）与走到之间的压差应为25Pa-30Pa，楼梯间与走到之间的压差应为40Pa-50Pa,当系统余压值超过最大允许压力差时应采取泄压措施。</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0DEC401">
            <w:pPr>
              <w:jc w:val="center"/>
              <w:rPr>
                <w:rFonts w:hint="eastAsia" w:ascii="宋体" w:hAnsi="宋体" w:eastAsia="宋体" w:cs="宋体"/>
                <w:i w:val="0"/>
                <w:iCs w:val="0"/>
                <w:color w:val="000000"/>
                <w:sz w:val="20"/>
                <w:szCs w:val="20"/>
                <w:u w:val="none"/>
              </w:rPr>
            </w:pP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89DD04">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ign w:val="center"/>
          </w:tcPr>
          <w:p w14:paraId="4DD54267">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ign w:val="center"/>
          </w:tcPr>
          <w:p w14:paraId="14E08F88">
            <w:pPr>
              <w:jc w:val="center"/>
              <w:rPr>
                <w:rFonts w:hint="eastAsia" w:ascii="宋体" w:hAnsi="宋体" w:eastAsia="宋体" w:cs="宋体"/>
                <w:i w:val="0"/>
                <w:iCs w:val="0"/>
                <w:color w:val="000000"/>
                <w:sz w:val="20"/>
                <w:szCs w:val="20"/>
                <w:u w:val="none"/>
              </w:rPr>
            </w:pPr>
          </w:p>
        </w:tc>
      </w:tr>
      <w:tr w14:paraId="696CA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107B19">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CC03EA">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76DC31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挡烟垂壁</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447ED8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检查挡烟垂壁的驱动机构及手动操作按钮，应灵敏可靠；</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B2FA7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57568B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清洁、润滑挡烟垂壁的驱动机构、手动操作按钮；</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7330808">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46B87E40">
            <w:pPr>
              <w:rPr>
                <w:rFonts w:hint="eastAsia" w:ascii="宋体" w:hAnsi="宋体" w:eastAsia="宋体" w:cs="宋体"/>
                <w:i w:val="0"/>
                <w:iCs w:val="0"/>
                <w:color w:val="000000"/>
                <w:sz w:val="20"/>
                <w:szCs w:val="20"/>
                <w:u w:val="none"/>
              </w:rPr>
            </w:pPr>
          </w:p>
        </w:tc>
      </w:tr>
      <w:tr w14:paraId="13DD7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8E36FC">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87E297">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3271A7">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4CCF5C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进行挡烟垂壁手动启动、复位试验，应启闭灵活，下降高度应符合设计要求，到位后应停止，状态信号反馈应正常，反馈触点应无锈蚀；</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58F77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025A49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反馈触点除锈清洁。</w:t>
            </w:r>
          </w:p>
        </w:tc>
        <w:tc>
          <w:tcPr>
            <w:tcW w:w="1050" w:type="dxa"/>
            <w:vMerge w:val="restart"/>
            <w:tcBorders>
              <w:top w:val="single" w:color="000000" w:sz="4" w:space="0"/>
              <w:left w:val="single" w:color="000000" w:sz="4" w:space="0"/>
              <w:bottom w:val="single" w:color="000000" w:sz="4" w:space="0"/>
              <w:right w:val="single" w:color="000000" w:sz="4" w:space="0"/>
            </w:tcBorders>
            <w:noWrap/>
            <w:vAlign w:val="center"/>
          </w:tcPr>
          <w:p w14:paraId="3A060A79">
            <w:pPr>
              <w:jc w:val="center"/>
              <w:rPr>
                <w:rFonts w:hint="eastAsia" w:ascii="宋体" w:hAnsi="宋体" w:eastAsia="宋体" w:cs="宋体"/>
                <w:i w:val="0"/>
                <w:iCs w:val="0"/>
                <w:color w:val="000000"/>
                <w:sz w:val="20"/>
                <w:szCs w:val="20"/>
                <w:u w:val="none"/>
              </w:rPr>
            </w:pPr>
          </w:p>
        </w:tc>
        <w:tc>
          <w:tcPr>
            <w:tcW w:w="806" w:type="dxa"/>
            <w:vMerge w:val="restart"/>
            <w:tcBorders>
              <w:top w:val="single" w:color="000000" w:sz="4" w:space="0"/>
              <w:left w:val="single" w:color="000000" w:sz="4" w:space="0"/>
              <w:bottom w:val="single" w:color="000000" w:sz="4" w:space="0"/>
              <w:right w:val="single" w:color="000000" w:sz="4" w:space="0"/>
            </w:tcBorders>
            <w:noWrap/>
            <w:vAlign w:val="center"/>
          </w:tcPr>
          <w:p w14:paraId="775628AF">
            <w:pPr>
              <w:jc w:val="center"/>
              <w:rPr>
                <w:rFonts w:hint="eastAsia" w:ascii="宋体" w:hAnsi="宋体" w:eastAsia="宋体" w:cs="宋体"/>
                <w:i w:val="0"/>
                <w:iCs w:val="0"/>
                <w:color w:val="000000"/>
                <w:sz w:val="20"/>
                <w:szCs w:val="20"/>
                <w:u w:val="none"/>
              </w:rPr>
            </w:pPr>
          </w:p>
        </w:tc>
      </w:tr>
      <w:tr w14:paraId="7EFD5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297ECD">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05F94F">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30F293">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8599D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进行1次功能检测试验及供电线路检查。</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4F7328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3C9385">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ign w:val="center"/>
          </w:tcPr>
          <w:p w14:paraId="33F7E76E">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ign w:val="center"/>
          </w:tcPr>
          <w:p w14:paraId="7671B5A2">
            <w:pPr>
              <w:jc w:val="center"/>
              <w:rPr>
                <w:rFonts w:hint="eastAsia" w:ascii="宋体" w:hAnsi="宋体" w:eastAsia="宋体" w:cs="宋体"/>
                <w:i w:val="0"/>
                <w:iCs w:val="0"/>
                <w:color w:val="000000"/>
                <w:sz w:val="20"/>
                <w:szCs w:val="20"/>
                <w:u w:val="none"/>
              </w:rPr>
            </w:pPr>
          </w:p>
        </w:tc>
      </w:tr>
      <w:tr w14:paraId="6C58A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4C52BC">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5FED2E">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0456B2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排烟窗</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4A87F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检查排烟窗应安装牢固、可靠，驱动装置、手动开启机构或按钮应灵敏可靠；</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6E02E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39A6EA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清洁、润滑排烟窗的驱动装置、手动开启机构或按钮；</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7664082B">
            <w:pPr>
              <w:jc w:val="center"/>
              <w:rPr>
                <w:rFonts w:hint="eastAsia" w:ascii="宋体" w:hAnsi="宋体" w:eastAsia="宋体" w:cs="宋体"/>
                <w:i w:val="0"/>
                <w:iCs w:val="0"/>
                <w:color w:val="000000"/>
                <w:sz w:val="20"/>
                <w:szCs w:val="20"/>
                <w:u w:val="none"/>
              </w:rPr>
            </w:pP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5FFBA37B">
            <w:pPr>
              <w:jc w:val="center"/>
              <w:rPr>
                <w:rFonts w:hint="eastAsia" w:ascii="宋体" w:hAnsi="宋体" w:eastAsia="宋体" w:cs="宋体"/>
                <w:i w:val="0"/>
                <w:iCs w:val="0"/>
                <w:color w:val="000000"/>
                <w:sz w:val="20"/>
                <w:szCs w:val="20"/>
                <w:u w:val="none"/>
              </w:rPr>
            </w:pPr>
          </w:p>
        </w:tc>
      </w:tr>
      <w:tr w14:paraId="7C039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2E6251">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C07DA9">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26BB1B">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4900B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进行排烟窗手动启动、复位试验，应启闭灵活，状态信号反馈应正常，反馈触点应无锈蚀；</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E6733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B629C9">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1057AA">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4C9947">
            <w:pPr>
              <w:jc w:val="center"/>
              <w:rPr>
                <w:rFonts w:hint="eastAsia" w:ascii="宋体" w:hAnsi="宋体" w:eastAsia="宋体" w:cs="宋体"/>
                <w:i w:val="0"/>
                <w:iCs w:val="0"/>
                <w:color w:val="000000"/>
                <w:sz w:val="20"/>
                <w:szCs w:val="20"/>
                <w:u w:val="none"/>
              </w:rPr>
            </w:pPr>
          </w:p>
        </w:tc>
      </w:tr>
      <w:tr w14:paraId="4F1AA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B045FF">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25CEA8">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BEF506">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582BE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进行1次功能检测试验及供电线路检查；</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5761D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5C3133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反馈触点除锈清洁。</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7F3ADE8E">
            <w:pPr>
              <w:jc w:val="center"/>
              <w:rPr>
                <w:rFonts w:hint="eastAsia" w:ascii="宋体" w:hAnsi="宋体" w:eastAsia="宋体" w:cs="宋体"/>
                <w:i w:val="0"/>
                <w:iCs w:val="0"/>
                <w:color w:val="000000"/>
                <w:sz w:val="20"/>
                <w:szCs w:val="20"/>
                <w:u w:val="none"/>
              </w:rPr>
            </w:pP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5C35F734">
            <w:pPr>
              <w:jc w:val="center"/>
              <w:rPr>
                <w:rFonts w:hint="eastAsia" w:ascii="宋体" w:hAnsi="宋体" w:eastAsia="宋体" w:cs="宋体"/>
                <w:i w:val="0"/>
                <w:iCs w:val="0"/>
                <w:color w:val="000000"/>
                <w:sz w:val="20"/>
                <w:szCs w:val="20"/>
                <w:u w:val="none"/>
              </w:rPr>
            </w:pPr>
          </w:p>
        </w:tc>
      </w:tr>
      <w:tr w14:paraId="0F7ED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687490">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342222">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E1A502">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7B11D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排烟窗的温控释放装置应有10%的备用件，且不少于10只。</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9B7B143">
            <w:pPr>
              <w:jc w:val="center"/>
              <w:rPr>
                <w:rFonts w:hint="eastAsia" w:ascii="宋体" w:hAnsi="宋体" w:eastAsia="宋体" w:cs="宋体"/>
                <w:i w:val="0"/>
                <w:iCs w:val="0"/>
                <w:color w:val="000000"/>
                <w:sz w:val="20"/>
                <w:szCs w:val="20"/>
                <w:u w:val="none"/>
              </w:rPr>
            </w:pP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B8DA75">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1EA789">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3A5C2C">
            <w:pPr>
              <w:jc w:val="center"/>
              <w:rPr>
                <w:rFonts w:hint="eastAsia" w:ascii="宋体" w:hAnsi="宋体" w:eastAsia="宋体" w:cs="宋体"/>
                <w:i w:val="0"/>
                <w:iCs w:val="0"/>
                <w:color w:val="000000"/>
                <w:sz w:val="20"/>
                <w:szCs w:val="20"/>
                <w:u w:val="none"/>
              </w:rPr>
            </w:pPr>
          </w:p>
        </w:tc>
      </w:tr>
      <w:tr w14:paraId="76E10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9CA715">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5D180D">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3FFD2B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防火阀、排烟防火阀</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BD7F8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检查阀体、叶片、执行机构，应完整、清洁，温感器应完好；</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1A436A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每半年</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3556E5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阀体、叶片、执行机构清洁、除锈、润滑，温感器清洁；</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CE0BE17">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78C25F69">
            <w:pPr>
              <w:rPr>
                <w:rFonts w:hint="eastAsia" w:ascii="宋体" w:hAnsi="宋体" w:eastAsia="宋体" w:cs="宋体"/>
                <w:i w:val="0"/>
                <w:iCs w:val="0"/>
                <w:color w:val="000000"/>
                <w:sz w:val="20"/>
                <w:szCs w:val="20"/>
                <w:u w:val="none"/>
              </w:rPr>
            </w:pPr>
          </w:p>
        </w:tc>
      </w:tr>
      <w:tr w14:paraId="538AE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DC6868">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4E4A87">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063D6C">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FD4FA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检查支吊架应完好、牢固；</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531E2C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每半年</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5609F8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紧固、修复支吊架；</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60F92A4">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6AE61B0B">
            <w:pPr>
              <w:rPr>
                <w:rFonts w:hint="eastAsia" w:ascii="宋体" w:hAnsi="宋体" w:eastAsia="宋体" w:cs="宋体"/>
                <w:i w:val="0"/>
                <w:iCs w:val="0"/>
                <w:color w:val="000000"/>
                <w:sz w:val="20"/>
                <w:szCs w:val="20"/>
                <w:u w:val="none"/>
              </w:rPr>
            </w:pPr>
          </w:p>
        </w:tc>
      </w:tr>
      <w:tr w14:paraId="67011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7F1973">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5DFAF0">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BFB2C0">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CF179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检查防火阀、排烟防火阀标识应清晰、完好；</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EC712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每半年</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04B3DF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恢复防火阀、排烟防火阀标识；</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2661EC3">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25C328D">
            <w:pPr>
              <w:rPr>
                <w:rFonts w:hint="eastAsia" w:ascii="宋体" w:hAnsi="宋体" w:eastAsia="宋体" w:cs="宋体"/>
                <w:i w:val="0"/>
                <w:iCs w:val="0"/>
                <w:color w:val="000000"/>
                <w:sz w:val="20"/>
                <w:szCs w:val="20"/>
                <w:u w:val="none"/>
              </w:rPr>
            </w:pPr>
          </w:p>
        </w:tc>
      </w:tr>
      <w:tr w14:paraId="1E5C9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9940EE">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19FACC">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D9F8A2">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9E704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进行手动关闭、复位试验，动作应灵敏可靠、关闭严密；</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2DEEF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每半年</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0D03B0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反馈触点除锈清洁；</w:t>
            </w:r>
          </w:p>
        </w:tc>
        <w:tc>
          <w:tcPr>
            <w:tcW w:w="1050" w:type="dxa"/>
            <w:vMerge w:val="restart"/>
            <w:tcBorders>
              <w:top w:val="single" w:color="000000" w:sz="4" w:space="0"/>
              <w:left w:val="single" w:color="000000" w:sz="4" w:space="0"/>
              <w:bottom w:val="single" w:color="000000" w:sz="4" w:space="0"/>
              <w:right w:val="single" w:color="000000" w:sz="4" w:space="0"/>
            </w:tcBorders>
            <w:noWrap/>
            <w:vAlign w:val="center"/>
          </w:tcPr>
          <w:p w14:paraId="7619208E">
            <w:pPr>
              <w:jc w:val="center"/>
              <w:rPr>
                <w:rFonts w:hint="eastAsia" w:ascii="宋体" w:hAnsi="宋体" w:eastAsia="宋体" w:cs="宋体"/>
                <w:i w:val="0"/>
                <w:iCs w:val="0"/>
                <w:color w:val="000000"/>
                <w:sz w:val="20"/>
                <w:szCs w:val="20"/>
                <w:u w:val="none"/>
              </w:rPr>
            </w:pPr>
          </w:p>
        </w:tc>
        <w:tc>
          <w:tcPr>
            <w:tcW w:w="806" w:type="dxa"/>
            <w:vMerge w:val="restart"/>
            <w:tcBorders>
              <w:top w:val="single" w:color="000000" w:sz="4" w:space="0"/>
              <w:left w:val="single" w:color="000000" w:sz="4" w:space="0"/>
              <w:bottom w:val="single" w:color="000000" w:sz="4" w:space="0"/>
              <w:right w:val="single" w:color="000000" w:sz="4" w:space="0"/>
            </w:tcBorders>
            <w:noWrap/>
            <w:vAlign w:val="center"/>
          </w:tcPr>
          <w:p w14:paraId="4957B5D3">
            <w:pPr>
              <w:jc w:val="center"/>
              <w:rPr>
                <w:rFonts w:hint="eastAsia" w:ascii="宋体" w:hAnsi="宋体" w:eastAsia="宋体" w:cs="宋体"/>
                <w:i w:val="0"/>
                <w:iCs w:val="0"/>
                <w:color w:val="000000"/>
                <w:sz w:val="20"/>
                <w:szCs w:val="20"/>
                <w:u w:val="none"/>
              </w:rPr>
            </w:pPr>
          </w:p>
        </w:tc>
      </w:tr>
      <w:tr w14:paraId="20B68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8F150B">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E3DE4A">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456BD0">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640BC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检查防火阀、排烟防火阀关闭后状态信号反馈应正常, 反馈触点应无锈蚀；</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E31EB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每半年</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BF61F9">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ign w:val="center"/>
          </w:tcPr>
          <w:p w14:paraId="75049AD8">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ign w:val="center"/>
          </w:tcPr>
          <w:p w14:paraId="0719A7BD">
            <w:pPr>
              <w:jc w:val="center"/>
              <w:rPr>
                <w:rFonts w:hint="eastAsia" w:ascii="宋体" w:hAnsi="宋体" w:eastAsia="宋体" w:cs="宋体"/>
                <w:i w:val="0"/>
                <w:iCs w:val="0"/>
                <w:color w:val="000000"/>
                <w:sz w:val="20"/>
                <w:szCs w:val="20"/>
                <w:u w:val="none"/>
              </w:rPr>
            </w:pPr>
          </w:p>
        </w:tc>
      </w:tr>
      <w:tr w14:paraId="61202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26F03A">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E06DD2">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14DAE1">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B3157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进行自动和手动启动试验1次；</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C8CD1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每半年</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3040DC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易熔片（温感器）应有10%且不少于10只备用件。</w:t>
            </w:r>
          </w:p>
        </w:tc>
        <w:tc>
          <w:tcPr>
            <w:tcW w:w="1050" w:type="dxa"/>
            <w:vMerge w:val="restart"/>
            <w:tcBorders>
              <w:top w:val="single" w:color="000000" w:sz="4" w:space="0"/>
              <w:left w:val="single" w:color="000000" w:sz="4" w:space="0"/>
              <w:bottom w:val="single" w:color="000000" w:sz="4" w:space="0"/>
              <w:right w:val="single" w:color="000000" w:sz="4" w:space="0"/>
            </w:tcBorders>
            <w:noWrap/>
            <w:vAlign w:val="center"/>
          </w:tcPr>
          <w:p w14:paraId="016D5108">
            <w:pPr>
              <w:jc w:val="center"/>
              <w:rPr>
                <w:rFonts w:hint="eastAsia" w:ascii="宋体" w:hAnsi="宋体" w:eastAsia="宋体" w:cs="宋体"/>
                <w:i w:val="0"/>
                <w:iCs w:val="0"/>
                <w:color w:val="000000"/>
                <w:sz w:val="20"/>
                <w:szCs w:val="20"/>
                <w:u w:val="none"/>
              </w:rPr>
            </w:pPr>
          </w:p>
        </w:tc>
        <w:tc>
          <w:tcPr>
            <w:tcW w:w="806" w:type="dxa"/>
            <w:vMerge w:val="restart"/>
            <w:tcBorders>
              <w:top w:val="single" w:color="000000" w:sz="4" w:space="0"/>
              <w:left w:val="single" w:color="000000" w:sz="4" w:space="0"/>
              <w:bottom w:val="single" w:color="000000" w:sz="4" w:space="0"/>
              <w:right w:val="single" w:color="000000" w:sz="4" w:space="0"/>
            </w:tcBorders>
            <w:noWrap/>
            <w:vAlign w:val="center"/>
          </w:tcPr>
          <w:p w14:paraId="09297FD3">
            <w:pPr>
              <w:jc w:val="center"/>
              <w:rPr>
                <w:rFonts w:hint="eastAsia" w:ascii="宋体" w:hAnsi="宋体" w:eastAsia="宋体" w:cs="宋体"/>
                <w:i w:val="0"/>
                <w:iCs w:val="0"/>
                <w:color w:val="000000"/>
                <w:sz w:val="20"/>
                <w:szCs w:val="20"/>
                <w:u w:val="none"/>
              </w:rPr>
            </w:pPr>
          </w:p>
        </w:tc>
      </w:tr>
      <w:tr w14:paraId="13352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075265">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ABDAB3">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8A75DC">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FD84A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排烟防火阀的易熔片应有10%的备用件，且不少于10只。</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4AA1EF3">
            <w:pPr>
              <w:jc w:val="center"/>
              <w:rPr>
                <w:rFonts w:hint="eastAsia" w:ascii="宋体" w:hAnsi="宋体" w:eastAsia="宋体" w:cs="宋体"/>
                <w:i w:val="0"/>
                <w:iCs w:val="0"/>
                <w:color w:val="000000"/>
                <w:sz w:val="20"/>
                <w:szCs w:val="20"/>
                <w:u w:val="none"/>
              </w:rPr>
            </w:pP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A295F3">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ign w:val="center"/>
          </w:tcPr>
          <w:p w14:paraId="5593AF97">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ign w:val="center"/>
          </w:tcPr>
          <w:p w14:paraId="55A82D48">
            <w:pPr>
              <w:jc w:val="center"/>
              <w:rPr>
                <w:rFonts w:hint="eastAsia" w:ascii="宋体" w:hAnsi="宋体" w:eastAsia="宋体" w:cs="宋体"/>
                <w:i w:val="0"/>
                <w:iCs w:val="0"/>
                <w:color w:val="000000"/>
                <w:sz w:val="20"/>
                <w:szCs w:val="20"/>
                <w:u w:val="none"/>
              </w:rPr>
            </w:pPr>
          </w:p>
        </w:tc>
      </w:tr>
      <w:tr w14:paraId="59A90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463B1B">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599435">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7F92D3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送风口、排烟阀或排烟口</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38EE7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检查送风口、排烟口，应牢固、平整，无变形、损伤，周围无遮挡物；</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C4A72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每半年</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34E8D4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清除送风口、排烟口周围的障碍物和可燃物；</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9E681FE">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44DA9E6B">
            <w:pPr>
              <w:rPr>
                <w:rFonts w:hint="eastAsia" w:ascii="宋体" w:hAnsi="宋体" w:eastAsia="宋体" w:cs="宋体"/>
                <w:i w:val="0"/>
                <w:iCs w:val="0"/>
                <w:color w:val="000000"/>
                <w:sz w:val="20"/>
                <w:szCs w:val="20"/>
                <w:u w:val="none"/>
              </w:rPr>
            </w:pPr>
          </w:p>
        </w:tc>
      </w:tr>
      <w:tr w14:paraId="72053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C0CB77">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2E1FB8">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EAC191">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63099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检查风管与排烟口连接部位法兰，应无损伤；</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5A1479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每半年</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08D7C0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修复连接部位损伤，紧固螺栓；</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0FD2BE3">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16BEBF01">
            <w:pPr>
              <w:rPr>
                <w:rFonts w:hint="eastAsia" w:ascii="宋体" w:hAnsi="宋体" w:eastAsia="宋体" w:cs="宋体"/>
                <w:i w:val="0"/>
                <w:iCs w:val="0"/>
                <w:color w:val="000000"/>
                <w:sz w:val="20"/>
                <w:szCs w:val="20"/>
                <w:u w:val="none"/>
              </w:rPr>
            </w:pPr>
          </w:p>
        </w:tc>
      </w:tr>
      <w:tr w14:paraId="7E819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A8AD6B">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6AFD8B">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7DEB1E">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4AA4B5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检查阀体、叶片、执行机构，应完整、清洁；</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AC155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每半年</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048801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阀体、叶片、执行机构清洁、除锈、修复；</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94DC412">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0A06B0D8">
            <w:pPr>
              <w:rPr>
                <w:rFonts w:hint="eastAsia" w:ascii="宋体" w:hAnsi="宋体" w:eastAsia="宋体" w:cs="宋体"/>
                <w:i w:val="0"/>
                <w:iCs w:val="0"/>
                <w:color w:val="000000"/>
                <w:sz w:val="20"/>
                <w:szCs w:val="20"/>
                <w:u w:val="none"/>
              </w:rPr>
            </w:pPr>
          </w:p>
        </w:tc>
      </w:tr>
      <w:tr w14:paraId="21D49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90CF59">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F9D7D7">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08F7F1">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4D951D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检查旋转机构，应灵活可靠；</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4BC18C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每半年</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652B6B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机械传送机构每年加适量润滑剂；</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482FB52">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2551E296">
            <w:pPr>
              <w:rPr>
                <w:rFonts w:hint="eastAsia" w:ascii="宋体" w:hAnsi="宋体" w:eastAsia="宋体" w:cs="宋体"/>
                <w:i w:val="0"/>
                <w:iCs w:val="0"/>
                <w:color w:val="000000"/>
                <w:sz w:val="20"/>
                <w:szCs w:val="20"/>
                <w:u w:val="none"/>
              </w:rPr>
            </w:pPr>
          </w:p>
        </w:tc>
      </w:tr>
      <w:tr w14:paraId="4CB5F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FD4C84">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DD11AA">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6B3EB5">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D89C5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检查制动机构、限位器，应符合设计要求；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1753D3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每半年</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772BD1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反馈触点除锈清洁；</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F1EEB3E">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3CA39730">
            <w:pPr>
              <w:rPr>
                <w:rFonts w:hint="eastAsia" w:ascii="宋体" w:hAnsi="宋体" w:eastAsia="宋体" w:cs="宋体"/>
                <w:i w:val="0"/>
                <w:iCs w:val="0"/>
                <w:color w:val="000000"/>
                <w:sz w:val="20"/>
                <w:szCs w:val="20"/>
                <w:u w:val="none"/>
              </w:rPr>
            </w:pPr>
          </w:p>
        </w:tc>
      </w:tr>
      <w:tr w14:paraId="78BA5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1FE159">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D163D8">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7E6981">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84873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进行手动开启、复位试验，动作应灵敏可靠；</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5D42DC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每半年</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1E5A1C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修复或更换损坏的设备或零配件，清洁、润滑手动驱动装置，调整远距离控制机构的脱扣钢丝连接，使钢丝不松弛、不脱落。</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3568933">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48DE7506">
            <w:pPr>
              <w:rPr>
                <w:rFonts w:hint="eastAsia" w:ascii="宋体" w:hAnsi="宋体" w:eastAsia="宋体" w:cs="宋体"/>
                <w:i w:val="0"/>
                <w:iCs w:val="0"/>
                <w:color w:val="000000"/>
                <w:sz w:val="20"/>
                <w:szCs w:val="20"/>
                <w:u w:val="none"/>
              </w:rPr>
            </w:pPr>
          </w:p>
        </w:tc>
      </w:tr>
      <w:tr w14:paraId="72498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D32414">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810DBB">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CB1844">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F3D62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检查阀门开启后状态信号反馈应正常, 反馈触点应无锈蚀；</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6D4F5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每半年</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04CF6F20">
            <w:pPr>
              <w:jc w:val="left"/>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19C0707">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125B3F1">
            <w:pPr>
              <w:rPr>
                <w:rFonts w:hint="eastAsia" w:ascii="宋体" w:hAnsi="宋体" w:eastAsia="宋体" w:cs="宋体"/>
                <w:i w:val="0"/>
                <w:iCs w:val="0"/>
                <w:color w:val="000000"/>
                <w:sz w:val="20"/>
                <w:szCs w:val="20"/>
                <w:u w:val="none"/>
              </w:rPr>
            </w:pPr>
          </w:p>
        </w:tc>
      </w:tr>
      <w:tr w14:paraId="2B606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E3CF2F">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8AE59C">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952905">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21A99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检查手动驱动装置，应安装牢固，零配件完好；</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5B5265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每半年</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79F215D6">
            <w:pPr>
              <w:jc w:val="left"/>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E879C5A">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0B284E89">
            <w:pPr>
              <w:rPr>
                <w:rFonts w:hint="eastAsia" w:ascii="宋体" w:hAnsi="宋体" w:eastAsia="宋体" w:cs="宋体"/>
                <w:i w:val="0"/>
                <w:iCs w:val="0"/>
                <w:color w:val="000000"/>
                <w:sz w:val="20"/>
                <w:szCs w:val="20"/>
                <w:u w:val="none"/>
              </w:rPr>
            </w:pPr>
          </w:p>
        </w:tc>
      </w:tr>
      <w:tr w14:paraId="76604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45671D">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79340E">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9DD7F0">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36E0C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进行自动和手动启动1次；</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2C3EB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每半年</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31265353">
            <w:pPr>
              <w:jc w:val="left"/>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A262C1E">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3861420">
            <w:pPr>
              <w:rPr>
                <w:rFonts w:hint="eastAsia" w:ascii="宋体" w:hAnsi="宋体" w:eastAsia="宋体" w:cs="宋体"/>
                <w:i w:val="0"/>
                <w:iCs w:val="0"/>
                <w:color w:val="000000"/>
                <w:sz w:val="20"/>
                <w:szCs w:val="20"/>
                <w:u w:val="none"/>
              </w:rPr>
            </w:pPr>
          </w:p>
        </w:tc>
      </w:tr>
      <w:tr w14:paraId="15BBE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8AF957">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0FF553">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81CEC9">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4EB4EB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送风口、排烟口、补风口的风速应满足规范要求。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7A8DF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每半年</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1E5AE441">
            <w:pPr>
              <w:jc w:val="left"/>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9CAA214">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00C29F96">
            <w:pPr>
              <w:rPr>
                <w:rFonts w:hint="eastAsia" w:ascii="宋体" w:hAnsi="宋体" w:eastAsia="宋体" w:cs="宋体"/>
                <w:i w:val="0"/>
                <w:iCs w:val="0"/>
                <w:color w:val="000000"/>
                <w:sz w:val="20"/>
                <w:szCs w:val="20"/>
                <w:u w:val="none"/>
              </w:rPr>
            </w:pPr>
          </w:p>
        </w:tc>
      </w:tr>
      <w:tr w14:paraId="23563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C0E9F7">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A71143">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0502D8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风管</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4CE8C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检查风管应完好；</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F762D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19A393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修复变形风管，修补或更换破损风管；</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D063FC0">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2F752779">
            <w:pPr>
              <w:rPr>
                <w:rFonts w:hint="eastAsia" w:ascii="宋体" w:hAnsi="宋体" w:eastAsia="宋体" w:cs="宋体"/>
                <w:i w:val="0"/>
                <w:iCs w:val="0"/>
                <w:color w:val="000000"/>
                <w:sz w:val="20"/>
                <w:szCs w:val="20"/>
                <w:u w:val="none"/>
              </w:rPr>
            </w:pPr>
          </w:p>
        </w:tc>
      </w:tr>
      <w:tr w14:paraId="07DCE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12BB2B">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80C539">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BBCA17">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72247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检查风管吊、支架应牢固；</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2062E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212A55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清除风管内异物；</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4C78C3B">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7137A130">
            <w:pPr>
              <w:rPr>
                <w:rFonts w:hint="eastAsia" w:ascii="宋体" w:hAnsi="宋体" w:eastAsia="宋体" w:cs="宋体"/>
                <w:i w:val="0"/>
                <w:iCs w:val="0"/>
                <w:color w:val="000000"/>
                <w:sz w:val="20"/>
                <w:szCs w:val="20"/>
                <w:u w:val="none"/>
              </w:rPr>
            </w:pPr>
          </w:p>
        </w:tc>
      </w:tr>
      <w:tr w14:paraId="6A806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D5B7F8">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3225B2">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EF8712">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17B74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每年检查无机玻璃风管质量，检查面积不少于风管面积的30%，风管表面应光洁、无明显泛霜、结露和分层现象。</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1EF02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68A7A3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加固风管吊、支架。</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7F45C75">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086EBAFF">
            <w:pPr>
              <w:rPr>
                <w:rFonts w:hint="eastAsia" w:ascii="宋体" w:hAnsi="宋体" w:eastAsia="宋体" w:cs="宋体"/>
                <w:i w:val="0"/>
                <w:iCs w:val="0"/>
                <w:color w:val="000000"/>
                <w:sz w:val="20"/>
                <w:szCs w:val="20"/>
                <w:u w:val="none"/>
              </w:rPr>
            </w:pPr>
          </w:p>
        </w:tc>
      </w:tr>
      <w:tr w14:paraId="20CA6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3745F5">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4C23E6">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5D2A46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风机控制柜</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F31D1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检查控制柜，应设置在易于操作、检查、维修的位置，无变形、损伤、腐蚀；</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455158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16039C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对风机控制柜内外进行1次清洁，先用压缩空气进行吹污、吹尘，然后用洁净的干布擦拭。</w:t>
            </w:r>
          </w:p>
        </w:tc>
        <w:tc>
          <w:tcPr>
            <w:tcW w:w="1050" w:type="dxa"/>
            <w:vMerge w:val="restart"/>
            <w:tcBorders>
              <w:top w:val="single" w:color="000000" w:sz="4" w:space="0"/>
              <w:left w:val="single" w:color="000000" w:sz="4" w:space="0"/>
              <w:bottom w:val="single" w:color="000000" w:sz="4" w:space="0"/>
              <w:right w:val="single" w:color="000000" w:sz="4" w:space="0"/>
            </w:tcBorders>
            <w:noWrap/>
            <w:vAlign w:val="center"/>
          </w:tcPr>
          <w:p w14:paraId="7087C5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每半年</w:t>
            </w:r>
          </w:p>
        </w:tc>
        <w:tc>
          <w:tcPr>
            <w:tcW w:w="806" w:type="dxa"/>
            <w:vMerge w:val="restart"/>
            <w:tcBorders>
              <w:top w:val="single" w:color="000000" w:sz="4" w:space="0"/>
              <w:left w:val="single" w:color="000000" w:sz="4" w:space="0"/>
              <w:bottom w:val="single" w:color="000000" w:sz="4" w:space="0"/>
              <w:right w:val="single" w:color="000000" w:sz="4" w:space="0"/>
            </w:tcBorders>
            <w:noWrap/>
            <w:vAlign w:val="center"/>
          </w:tcPr>
          <w:p w14:paraId="55A581D3">
            <w:pPr>
              <w:jc w:val="center"/>
              <w:rPr>
                <w:rFonts w:hint="eastAsia" w:ascii="宋体" w:hAnsi="宋体" w:eastAsia="宋体" w:cs="宋体"/>
                <w:i w:val="0"/>
                <w:iCs w:val="0"/>
                <w:color w:val="000000"/>
                <w:sz w:val="20"/>
                <w:szCs w:val="20"/>
                <w:u w:val="none"/>
              </w:rPr>
            </w:pPr>
          </w:p>
        </w:tc>
      </w:tr>
      <w:tr w14:paraId="219F9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D5D652">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63880E">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A5389B">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464E8D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检查线路图及操作说明，应齐全；</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11CCB7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EAE425">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ign w:val="center"/>
          </w:tcPr>
          <w:p w14:paraId="7EE8FA97">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ign w:val="center"/>
          </w:tcPr>
          <w:p w14:paraId="25FF8ABB">
            <w:pPr>
              <w:jc w:val="center"/>
              <w:rPr>
                <w:rFonts w:hint="eastAsia" w:ascii="宋体" w:hAnsi="宋体" w:eastAsia="宋体" w:cs="宋体"/>
                <w:i w:val="0"/>
                <w:iCs w:val="0"/>
                <w:color w:val="000000"/>
                <w:sz w:val="20"/>
                <w:szCs w:val="20"/>
                <w:u w:val="none"/>
              </w:rPr>
            </w:pPr>
          </w:p>
        </w:tc>
      </w:tr>
      <w:tr w14:paraId="0CE5D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BC842B">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C9953E">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D91EDF">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40557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每月检查电压、电流表指针，应在规定范围内；</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46609A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3B6502">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ign w:val="center"/>
          </w:tcPr>
          <w:p w14:paraId="7C13E2D9">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ign w:val="center"/>
          </w:tcPr>
          <w:p w14:paraId="3FD8D9BF">
            <w:pPr>
              <w:jc w:val="center"/>
              <w:rPr>
                <w:rFonts w:hint="eastAsia" w:ascii="宋体" w:hAnsi="宋体" w:eastAsia="宋体" w:cs="宋体"/>
                <w:i w:val="0"/>
                <w:iCs w:val="0"/>
                <w:color w:val="000000"/>
                <w:sz w:val="20"/>
                <w:szCs w:val="20"/>
                <w:u w:val="none"/>
              </w:rPr>
            </w:pPr>
          </w:p>
        </w:tc>
      </w:tr>
      <w:tr w14:paraId="1F7CC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749B6B">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558285">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E547BE">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06ED7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每月检查开关，应无变形、损伤，标识应清晰，工作应正常；</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7DF71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557972">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ign w:val="center"/>
          </w:tcPr>
          <w:p w14:paraId="52925FAB">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ign w:val="center"/>
          </w:tcPr>
          <w:p w14:paraId="0796C8F6">
            <w:pPr>
              <w:jc w:val="center"/>
              <w:rPr>
                <w:rFonts w:hint="eastAsia" w:ascii="宋体" w:hAnsi="宋体" w:eastAsia="宋体" w:cs="宋体"/>
                <w:i w:val="0"/>
                <w:iCs w:val="0"/>
                <w:color w:val="000000"/>
                <w:sz w:val="20"/>
                <w:szCs w:val="20"/>
                <w:u w:val="none"/>
              </w:rPr>
            </w:pPr>
          </w:p>
        </w:tc>
      </w:tr>
      <w:tr w14:paraId="16E80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E9785D">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D8FC86">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810B54">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24D24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每月检查继电器，应无脱落、松动，接点无烧损，转换开关功能应正常。</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4EEE2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A03D21">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ign w:val="center"/>
          </w:tcPr>
          <w:p w14:paraId="6C221FAE">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ign w:val="center"/>
          </w:tcPr>
          <w:p w14:paraId="4F222A38">
            <w:pPr>
              <w:jc w:val="center"/>
              <w:rPr>
                <w:rFonts w:hint="eastAsia" w:ascii="宋体" w:hAnsi="宋体" w:eastAsia="宋体" w:cs="宋体"/>
                <w:i w:val="0"/>
                <w:iCs w:val="0"/>
                <w:color w:val="000000"/>
                <w:sz w:val="20"/>
                <w:szCs w:val="20"/>
                <w:u w:val="none"/>
              </w:rPr>
            </w:pPr>
          </w:p>
        </w:tc>
      </w:tr>
      <w:tr w14:paraId="6AEC1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restart"/>
            <w:tcBorders>
              <w:top w:val="single" w:color="000000" w:sz="4" w:space="0"/>
              <w:left w:val="single" w:color="000000" w:sz="4" w:space="0"/>
              <w:bottom w:val="single" w:color="000000" w:sz="4" w:space="0"/>
              <w:right w:val="single" w:color="000000" w:sz="4" w:space="0"/>
            </w:tcBorders>
            <w:noWrap w:val="0"/>
            <w:vAlign w:val="center"/>
          </w:tcPr>
          <w:p w14:paraId="2C133CC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w:t>
            </w:r>
          </w:p>
        </w:tc>
        <w:tc>
          <w:tcPr>
            <w:tcW w:w="1341" w:type="dxa"/>
            <w:vMerge w:val="restart"/>
            <w:tcBorders>
              <w:top w:val="single" w:color="000000" w:sz="4" w:space="0"/>
              <w:left w:val="single" w:color="000000" w:sz="4" w:space="0"/>
              <w:bottom w:val="single" w:color="000000" w:sz="4" w:space="0"/>
              <w:right w:val="single" w:color="000000" w:sz="4" w:space="0"/>
            </w:tcBorders>
            <w:noWrap w:val="0"/>
            <w:vAlign w:val="center"/>
          </w:tcPr>
          <w:p w14:paraId="31E1A2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消防应急照明和疏散指示标志</w:t>
            </w: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473A1C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供电线路</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6B4EE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每月检查供电线路，应无老化；</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B4A4D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53AEB9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更换供电线路老化部分。</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05C0CD02">
            <w:pPr>
              <w:jc w:val="left"/>
              <w:rPr>
                <w:rFonts w:hint="eastAsia" w:ascii="宋体" w:hAnsi="宋体" w:eastAsia="宋体" w:cs="宋体"/>
                <w:i w:val="0"/>
                <w:iCs w:val="0"/>
                <w:color w:val="000000"/>
                <w:sz w:val="20"/>
                <w:szCs w:val="20"/>
                <w:u w:val="none"/>
              </w:rPr>
            </w:pP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18482834">
            <w:pPr>
              <w:jc w:val="left"/>
              <w:rPr>
                <w:rFonts w:hint="eastAsia" w:ascii="宋体" w:hAnsi="宋体" w:eastAsia="宋体" w:cs="宋体"/>
                <w:i w:val="0"/>
                <w:iCs w:val="0"/>
                <w:color w:val="000000"/>
                <w:sz w:val="20"/>
                <w:szCs w:val="20"/>
                <w:u w:val="none"/>
              </w:rPr>
            </w:pPr>
          </w:p>
        </w:tc>
      </w:tr>
      <w:tr w14:paraId="59609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219542">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CE6682">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283C01">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4DBDA7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每月检查双回路自动切换电源装置，切换功能应正常。</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C1603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6EAB22">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39814D">
            <w:pPr>
              <w:jc w:val="left"/>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04A909">
            <w:pPr>
              <w:jc w:val="left"/>
              <w:rPr>
                <w:rFonts w:hint="eastAsia" w:ascii="宋体" w:hAnsi="宋体" w:eastAsia="宋体" w:cs="宋体"/>
                <w:i w:val="0"/>
                <w:iCs w:val="0"/>
                <w:color w:val="000000"/>
                <w:sz w:val="20"/>
                <w:szCs w:val="20"/>
                <w:u w:val="none"/>
              </w:rPr>
            </w:pPr>
          </w:p>
        </w:tc>
      </w:tr>
      <w:tr w14:paraId="53A06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38E1C5">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AD1AD6">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106711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消防应急照明灯具</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24E47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每月检查消防应急照明灯具外观和安装情况，应完好、牢固；</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B16F7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5467CB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修复或更换损坏的消防应急照明灯具面板、灯箱或光源，紧固松动的灯具及接线；</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7531D8F">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06DECF6A">
            <w:pPr>
              <w:rPr>
                <w:rFonts w:hint="eastAsia" w:ascii="宋体" w:hAnsi="宋体" w:eastAsia="宋体" w:cs="宋体"/>
                <w:i w:val="0"/>
                <w:iCs w:val="0"/>
                <w:color w:val="000000"/>
                <w:sz w:val="20"/>
                <w:szCs w:val="20"/>
                <w:u w:val="none"/>
              </w:rPr>
            </w:pPr>
          </w:p>
        </w:tc>
      </w:tr>
      <w:tr w14:paraId="066FA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0593E1">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46405D">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965DFD">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AB2A5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每季度检查自带蓄电池供电式消防应急照明灯具工作状态是否正常；</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E054F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3B42BD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每年用专用清洁工具或软布及适当的清洁剂清洁灯具表面。</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82C1D62">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028BD096">
            <w:pPr>
              <w:rPr>
                <w:rFonts w:hint="eastAsia" w:ascii="宋体" w:hAnsi="宋体" w:eastAsia="宋体" w:cs="宋体"/>
                <w:i w:val="0"/>
                <w:iCs w:val="0"/>
                <w:color w:val="000000"/>
                <w:sz w:val="20"/>
                <w:szCs w:val="20"/>
                <w:u w:val="none"/>
              </w:rPr>
            </w:pPr>
          </w:p>
        </w:tc>
      </w:tr>
      <w:tr w14:paraId="288CC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FB61D1">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C3B640">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EF02B6">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98E70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每季度检查集中电源供电式消防应急照明灯具工作状态是否正常；</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FA087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23AFEAF3">
            <w:pPr>
              <w:jc w:val="left"/>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2DCABBF">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19F4A430">
            <w:pPr>
              <w:rPr>
                <w:rFonts w:hint="eastAsia" w:ascii="宋体" w:hAnsi="宋体" w:eastAsia="宋体" w:cs="宋体"/>
                <w:i w:val="0"/>
                <w:iCs w:val="0"/>
                <w:color w:val="000000"/>
                <w:sz w:val="20"/>
                <w:szCs w:val="20"/>
                <w:u w:val="none"/>
              </w:rPr>
            </w:pPr>
          </w:p>
        </w:tc>
      </w:tr>
      <w:tr w14:paraId="65913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2B8C80">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544547">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4232F1">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615DC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每年检查自带蓄电池供电式消防应急照明灯具的电池是否满足功能要求。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445B0A4">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1B9F9D91">
            <w:pPr>
              <w:jc w:val="left"/>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01A5E22">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81884D7">
            <w:pPr>
              <w:rPr>
                <w:rFonts w:hint="eastAsia" w:ascii="宋体" w:hAnsi="宋体" w:eastAsia="宋体" w:cs="宋体"/>
                <w:i w:val="0"/>
                <w:iCs w:val="0"/>
                <w:color w:val="000000"/>
                <w:sz w:val="20"/>
                <w:szCs w:val="20"/>
                <w:u w:val="none"/>
              </w:rPr>
            </w:pPr>
          </w:p>
        </w:tc>
      </w:tr>
      <w:tr w14:paraId="7B64B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3606A5">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DD2160">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57622D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疏散指示标志灯具</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3ED45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每月检查疏散指示标志灯具外观和安装情况，应完好、牢固；</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EC89FCB">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09B90A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修复或更换损坏的疏散指示标志灯具面板，紧固松动的灯具及接线；</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3EC8236">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060C3632">
            <w:pPr>
              <w:rPr>
                <w:rFonts w:hint="eastAsia" w:ascii="宋体" w:hAnsi="宋体" w:eastAsia="宋体" w:cs="宋体"/>
                <w:i w:val="0"/>
                <w:iCs w:val="0"/>
                <w:color w:val="000000"/>
                <w:sz w:val="20"/>
                <w:szCs w:val="20"/>
                <w:u w:val="none"/>
              </w:rPr>
            </w:pPr>
          </w:p>
        </w:tc>
      </w:tr>
      <w:tr w14:paraId="67427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2DCC49">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3F217B">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1714EE">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164DB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检查自带蓄电池供电式疏散指示标志灯具工作状态是否正常；</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4365A7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659583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每年用专用清洁工具或软布及适当的清洁剂清洁灯具表面。</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50AE2BC">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01A0824A">
            <w:pPr>
              <w:rPr>
                <w:rFonts w:hint="eastAsia" w:ascii="宋体" w:hAnsi="宋体" w:eastAsia="宋体" w:cs="宋体"/>
                <w:i w:val="0"/>
                <w:iCs w:val="0"/>
                <w:color w:val="000000"/>
                <w:sz w:val="20"/>
                <w:szCs w:val="20"/>
                <w:u w:val="none"/>
              </w:rPr>
            </w:pPr>
          </w:p>
        </w:tc>
      </w:tr>
      <w:tr w14:paraId="6BEE7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BB3463">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3CA0BB">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A5DD66">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7D9A4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检查集中电源供电式疏散指示标志灯具工作状态是否正常；</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C0CC4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0215A5B9">
            <w:pPr>
              <w:jc w:val="left"/>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6DCF12E">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6CDC99D">
            <w:pPr>
              <w:rPr>
                <w:rFonts w:hint="eastAsia" w:ascii="宋体" w:hAnsi="宋体" w:eastAsia="宋体" w:cs="宋体"/>
                <w:i w:val="0"/>
                <w:iCs w:val="0"/>
                <w:color w:val="000000"/>
                <w:sz w:val="20"/>
                <w:szCs w:val="20"/>
                <w:u w:val="none"/>
              </w:rPr>
            </w:pPr>
          </w:p>
        </w:tc>
      </w:tr>
      <w:tr w14:paraId="40022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D24E9A">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3F1850">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FBD10B">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572EA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检查自带蓄电池供电式疏散指示标志灯具的电池是否满足功能要求。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45683B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313B1B22">
            <w:pPr>
              <w:jc w:val="left"/>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799EA13">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163E1096">
            <w:pPr>
              <w:rPr>
                <w:rFonts w:hint="eastAsia" w:ascii="宋体" w:hAnsi="宋体" w:eastAsia="宋体" w:cs="宋体"/>
                <w:i w:val="0"/>
                <w:iCs w:val="0"/>
                <w:color w:val="000000"/>
                <w:sz w:val="20"/>
                <w:szCs w:val="20"/>
                <w:u w:val="none"/>
              </w:rPr>
            </w:pPr>
          </w:p>
        </w:tc>
      </w:tr>
      <w:tr w14:paraId="56869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C4AAB5">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1634E3">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1D9522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应急照明集中电源</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45C4D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检查应急照明集中电源主电、充电、故障和应急状态指示灯，应显示正常；</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D7313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34066B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修复或更换损坏的指示灯、按钮（或开关）；</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7F2147B">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14CDD75E">
            <w:pPr>
              <w:rPr>
                <w:rFonts w:hint="eastAsia" w:ascii="宋体" w:hAnsi="宋体" w:eastAsia="宋体" w:cs="宋体"/>
                <w:i w:val="0"/>
                <w:iCs w:val="0"/>
                <w:color w:val="000000"/>
                <w:sz w:val="20"/>
                <w:szCs w:val="20"/>
                <w:u w:val="none"/>
              </w:rPr>
            </w:pPr>
          </w:p>
        </w:tc>
      </w:tr>
      <w:tr w14:paraId="12BD7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725800">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A51DED">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637EA1">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35904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检查应急照明集中电源模拟主电源故障的自复式试验按钮（或开关），应正常工作；</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98B37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2656E4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每年切断电源，用压缩空气、毛刷等清除内部电池、电路及接线端子处的灰尘，用专用清洁工具或软布及适当的清洁剂清洁柜体；</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4A88128">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601E0A12">
            <w:pPr>
              <w:rPr>
                <w:rFonts w:hint="eastAsia" w:ascii="宋体" w:hAnsi="宋体" w:eastAsia="宋体" w:cs="宋体"/>
                <w:i w:val="0"/>
                <w:iCs w:val="0"/>
                <w:color w:val="000000"/>
                <w:sz w:val="20"/>
                <w:szCs w:val="20"/>
                <w:u w:val="none"/>
              </w:rPr>
            </w:pPr>
          </w:p>
        </w:tc>
      </w:tr>
      <w:tr w14:paraId="382F5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B7501B">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55A310">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44593F">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6D077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检查应急照明集中电源显示的主电电压、电池电压、输出电压和输出电流数值，应符合设计要求；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B63D8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0572B9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更换失效的电池。</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D2C946F">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3DFE6A0B">
            <w:pPr>
              <w:rPr>
                <w:rFonts w:hint="eastAsia" w:ascii="宋体" w:hAnsi="宋体" w:eastAsia="宋体" w:cs="宋体"/>
                <w:i w:val="0"/>
                <w:iCs w:val="0"/>
                <w:color w:val="000000"/>
                <w:sz w:val="20"/>
                <w:szCs w:val="20"/>
                <w:u w:val="none"/>
              </w:rPr>
            </w:pPr>
          </w:p>
        </w:tc>
      </w:tr>
      <w:tr w14:paraId="73999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79EBA9">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5A1A30">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97EFD5">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94742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检查电源外观应完好，电池状况应符合使用要求。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C919E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0F2BE2AE">
            <w:pPr>
              <w:jc w:val="left"/>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E586AB5">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3247D1BB">
            <w:pPr>
              <w:rPr>
                <w:rFonts w:hint="eastAsia" w:ascii="宋体" w:hAnsi="宋体" w:eastAsia="宋体" w:cs="宋体"/>
                <w:i w:val="0"/>
                <w:iCs w:val="0"/>
                <w:color w:val="000000"/>
                <w:sz w:val="20"/>
                <w:szCs w:val="20"/>
                <w:u w:val="none"/>
              </w:rPr>
            </w:pPr>
          </w:p>
        </w:tc>
      </w:tr>
      <w:tr w14:paraId="30076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B55CED">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23560E">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0CF30F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应急照明控制器</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3289A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检查应急照明控制器指示灯、显示屏、音响器件，应完好有效；</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952A7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43A556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每年切断电源，采用专用清洁工具清除线路板、接线端子及柜（箱）体内灰尘；</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B0A3A89">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3001CD0">
            <w:pPr>
              <w:rPr>
                <w:rFonts w:hint="eastAsia" w:ascii="宋体" w:hAnsi="宋体" w:eastAsia="宋体" w:cs="宋体"/>
                <w:i w:val="0"/>
                <w:iCs w:val="0"/>
                <w:color w:val="000000"/>
                <w:sz w:val="20"/>
                <w:szCs w:val="20"/>
                <w:u w:val="none"/>
              </w:rPr>
            </w:pPr>
          </w:p>
        </w:tc>
      </w:tr>
      <w:tr w14:paraId="48FB4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44C915">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0BAD4D">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D187B3">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29ED5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检查控制器接线端子有无松脱现象，线标端子标识是否清晰，设备接口是否接触良好；</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F077E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580C2B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空气潮湿场所的控制器设备柜（箱）体内应放置干燥剂；</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81257B2">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00EEFF65">
            <w:pPr>
              <w:rPr>
                <w:rFonts w:hint="eastAsia" w:ascii="宋体" w:hAnsi="宋体" w:eastAsia="宋体" w:cs="宋体"/>
                <w:i w:val="0"/>
                <w:iCs w:val="0"/>
                <w:color w:val="000000"/>
                <w:sz w:val="20"/>
                <w:szCs w:val="20"/>
                <w:u w:val="none"/>
              </w:rPr>
            </w:pPr>
          </w:p>
        </w:tc>
      </w:tr>
      <w:tr w14:paraId="6425F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D7126A">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A071AF">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65CA95">
            <w:pPr>
              <w:jc w:val="center"/>
              <w:rPr>
                <w:rFonts w:hint="eastAsia" w:ascii="宋体" w:hAnsi="宋体" w:eastAsia="宋体" w:cs="宋体"/>
                <w:i w:val="0"/>
                <w:iCs w:val="0"/>
                <w:color w:val="000000"/>
                <w:sz w:val="20"/>
                <w:szCs w:val="20"/>
                <w:u w:val="none"/>
              </w:rPr>
            </w:pPr>
          </w:p>
        </w:tc>
        <w:tc>
          <w:tcPr>
            <w:tcW w:w="3994" w:type="dxa"/>
            <w:vMerge w:val="restart"/>
            <w:tcBorders>
              <w:top w:val="single" w:color="000000" w:sz="4" w:space="0"/>
              <w:left w:val="single" w:color="000000" w:sz="4" w:space="0"/>
              <w:bottom w:val="single" w:color="000000" w:sz="4" w:space="0"/>
              <w:right w:val="single" w:color="000000" w:sz="4" w:space="0"/>
            </w:tcBorders>
            <w:noWrap w:val="0"/>
            <w:vAlign w:val="center"/>
          </w:tcPr>
          <w:p w14:paraId="0E52F4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用万用表测量控制器各项输出电压，应符合产品设计要求。</w:t>
            </w:r>
          </w:p>
        </w:tc>
        <w:tc>
          <w:tcPr>
            <w:tcW w:w="1078" w:type="dxa"/>
            <w:vMerge w:val="restart"/>
            <w:tcBorders>
              <w:top w:val="single" w:color="000000" w:sz="4" w:space="0"/>
              <w:left w:val="single" w:color="000000" w:sz="4" w:space="0"/>
              <w:bottom w:val="single" w:color="000000" w:sz="4" w:space="0"/>
              <w:right w:val="single" w:color="000000" w:sz="4" w:space="0"/>
            </w:tcBorders>
            <w:noWrap w:val="0"/>
            <w:vAlign w:val="center"/>
          </w:tcPr>
          <w:p w14:paraId="43228C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52DF18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每年检查应急照明控制器外部接线端子，发现松动应紧固；</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2FB7456">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0F93F5F7">
            <w:pPr>
              <w:rPr>
                <w:rFonts w:hint="eastAsia" w:ascii="宋体" w:hAnsi="宋体" w:eastAsia="宋体" w:cs="宋体"/>
                <w:i w:val="0"/>
                <w:iCs w:val="0"/>
                <w:color w:val="000000"/>
                <w:sz w:val="20"/>
                <w:szCs w:val="20"/>
                <w:u w:val="none"/>
              </w:rPr>
            </w:pPr>
          </w:p>
        </w:tc>
      </w:tr>
      <w:tr w14:paraId="0A5A8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BE9A6C">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08F328">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8A91D1">
            <w:pPr>
              <w:jc w:val="center"/>
              <w:rPr>
                <w:rFonts w:hint="eastAsia" w:ascii="宋体" w:hAnsi="宋体" w:eastAsia="宋体" w:cs="宋体"/>
                <w:i w:val="0"/>
                <w:iCs w:val="0"/>
                <w:color w:val="000000"/>
                <w:sz w:val="20"/>
                <w:szCs w:val="20"/>
                <w:u w:val="none"/>
              </w:rPr>
            </w:pPr>
          </w:p>
        </w:tc>
        <w:tc>
          <w:tcPr>
            <w:tcW w:w="39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A6D9A8">
            <w:pPr>
              <w:jc w:val="left"/>
              <w:rPr>
                <w:rFonts w:hint="eastAsia" w:ascii="宋体" w:hAnsi="宋体" w:eastAsia="宋体" w:cs="宋体"/>
                <w:i w:val="0"/>
                <w:iCs w:val="0"/>
                <w:color w:val="000000"/>
                <w:sz w:val="20"/>
                <w:szCs w:val="20"/>
                <w:u w:val="none"/>
              </w:rPr>
            </w:pPr>
          </w:p>
        </w:tc>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733E90">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665A44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每季度备份应急照明控制器内的软件信息；</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396B88F">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34128E99">
            <w:pPr>
              <w:rPr>
                <w:rFonts w:hint="eastAsia" w:ascii="宋体" w:hAnsi="宋体" w:eastAsia="宋体" w:cs="宋体"/>
                <w:i w:val="0"/>
                <w:iCs w:val="0"/>
                <w:color w:val="000000"/>
                <w:sz w:val="20"/>
                <w:szCs w:val="20"/>
                <w:u w:val="none"/>
              </w:rPr>
            </w:pPr>
          </w:p>
        </w:tc>
      </w:tr>
      <w:tr w14:paraId="0662F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6106AC">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CABF50">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590F3D">
            <w:pPr>
              <w:jc w:val="center"/>
              <w:rPr>
                <w:rFonts w:hint="eastAsia" w:ascii="宋体" w:hAnsi="宋体" w:eastAsia="宋体" w:cs="宋体"/>
                <w:i w:val="0"/>
                <w:iCs w:val="0"/>
                <w:color w:val="000000"/>
                <w:sz w:val="20"/>
                <w:szCs w:val="20"/>
                <w:u w:val="none"/>
              </w:rPr>
            </w:pPr>
          </w:p>
        </w:tc>
        <w:tc>
          <w:tcPr>
            <w:tcW w:w="39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3B5C73">
            <w:pPr>
              <w:jc w:val="left"/>
              <w:rPr>
                <w:rFonts w:hint="eastAsia" w:ascii="宋体" w:hAnsi="宋体" w:eastAsia="宋体" w:cs="宋体"/>
                <w:i w:val="0"/>
                <w:iCs w:val="0"/>
                <w:color w:val="000000"/>
                <w:sz w:val="20"/>
                <w:szCs w:val="20"/>
                <w:u w:val="none"/>
              </w:rPr>
            </w:pPr>
          </w:p>
        </w:tc>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98ED5D">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126CE2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电池按照产品说明书进行保养。</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C871E78">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4ED122E">
            <w:pPr>
              <w:rPr>
                <w:rFonts w:hint="eastAsia" w:ascii="宋体" w:hAnsi="宋体" w:eastAsia="宋体" w:cs="宋体"/>
                <w:i w:val="0"/>
                <w:iCs w:val="0"/>
                <w:color w:val="000000"/>
                <w:sz w:val="20"/>
                <w:szCs w:val="20"/>
                <w:u w:val="none"/>
              </w:rPr>
            </w:pPr>
          </w:p>
        </w:tc>
      </w:tr>
      <w:tr w14:paraId="20CA5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A2E606">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4E8BDF">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51B2CB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应急照明配电箱</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8EC2E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检查应急照明配电箱手动试验转换装置、每路电源状态指示灯；</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4BD551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3BC697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空气潮湿场所的配电箱体内应放置干燥剂；</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775052A">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0AABEA1D">
            <w:pPr>
              <w:rPr>
                <w:rFonts w:hint="eastAsia" w:ascii="宋体" w:hAnsi="宋体" w:eastAsia="宋体" w:cs="宋体"/>
                <w:i w:val="0"/>
                <w:iCs w:val="0"/>
                <w:color w:val="000000"/>
                <w:sz w:val="20"/>
                <w:szCs w:val="20"/>
                <w:u w:val="none"/>
              </w:rPr>
            </w:pPr>
          </w:p>
        </w:tc>
      </w:tr>
      <w:tr w14:paraId="6FFAF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7FB125">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4CA16C">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29C5A6">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E4A9D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检查应急照明配电箱外观。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6E878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4E1B9A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每年切断电源，用压缩空气、毛刷等清除接线端子及箱体内灰尘。</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CBA5D5B">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2E3FA84C">
            <w:pPr>
              <w:rPr>
                <w:rFonts w:hint="eastAsia" w:ascii="宋体" w:hAnsi="宋体" w:eastAsia="宋体" w:cs="宋体"/>
                <w:i w:val="0"/>
                <w:iCs w:val="0"/>
                <w:color w:val="000000"/>
                <w:sz w:val="20"/>
                <w:szCs w:val="20"/>
                <w:u w:val="none"/>
              </w:rPr>
            </w:pPr>
          </w:p>
        </w:tc>
      </w:tr>
      <w:tr w14:paraId="4146E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DD4693">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E68D24">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6CFF17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应急照明分配电装置</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B1F4C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用电压表测量在应急工作状态、额定负载条件下应急照明分配电装置的输出电压值；</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598A3B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34F7AE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在应急工作状态、额定负载条件下，应急照明分配电装置的输出电压值低于额定工作电压的85%时，应按照产品说明书进行检查和修理；</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BFD63D5">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315EDA56">
            <w:pPr>
              <w:rPr>
                <w:rFonts w:hint="eastAsia" w:ascii="宋体" w:hAnsi="宋体" w:eastAsia="宋体" w:cs="宋体"/>
                <w:i w:val="0"/>
                <w:iCs w:val="0"/>
                <w:color w:val="000000"/>
                <w:sz w:val="20"/>
                <w:szCs w:val="20"/>
                <w:u w:val="none"/>
              </w:rPr>
            </w:pPr>
          </w:p>
        </w:tc>
      </w:tr>
      <w:tr w14:paraId="6F15C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CF4049">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2AFEDD">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BCE442">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B8C56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用电压表测量在应急工作状态、空载条件下应急照明分配电装置的输出电压值；</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03D46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698CFA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在应急工作状态、空载条件下，应急照明分配电装置的输出电压值高于额定工作电压的110%时，应按照产品说明书进行检查和修理；</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2BA834D">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BD0C053">
            <w:pPr>
              <w:rPr>
                <w:rFonts w:hint="eastAsia" w:ascii="宋体" w:hAnsi="宋体" w:eastAsia="宋体" w:cs="宋体"/>
                <w:i w:val="0"/>
                <w:iCs w:val="0"/>
                <w:color w:val="000000"/>
                <w:sz w:val="20"/>
                <w:szCs w:val="20"/>
                <w:u w:val="none"/>
              </w:rPr>
            </w:pPr>
          </w:p>
        </w:tc>
      </w:tr>
      <w:tr w14:paraId="6E16B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35B3E1">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C9640A">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701130">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409F99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检查应急照明分配电装置控制功能，应正常。</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4A379D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每年</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67F5B9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每年切断电源，采用专用清洁工具清除线路板、接线端子及柜（箱）体内灰尘。</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DE27A00">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2F9BE597">
            <w:pPr>
              <w:rPr>
                <w:rFonts w:hint="eastAsia" w:ascii="宋体" w:hAnsi="宋体" w:eastAsia="宋体" w:cs="宋体"/>
                <w:i w:val="0"/>
                <w:iCs w:val="0"/>
                <w:color w:val="000000"/>
                <w:sz w:val="20"/>
                <w:szCs w:val="20"/>
                <w:u w:val="none"/>
              </w:rPr>
            </w:pPr>
          </w:p>
        </w:tc>
      </w:tr>
      <w:tr w14:paraId="19DD4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restart"/>
            <w:tcBorders>
              <w:top w:val="single" w:color="000000" w:sz="4" w:space="0"/>
              <w:left w:val="single" w:color="000000" w:sz="4" w:space="0"/>
              <w:bottom w:val="single" w:color="000000" w:sz="4" w:space="0"/>
              <w:right w:val="single" w:color="000000" w:sz="4" w:space="0"/>
            </w:tcBorders>
            <w:noWrap w:val="0"/>
            <w:vAlign w:val="center"/>
          </w:tcPr>
          <w:p w14:paraId="5F0DB7E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w:t>
            </w:r>
          </w:p>
        </w:tc>
        <w:tc>
          <w:tcPr>
            <w:tcW w:w="1341" w:type="dxa"/>
            <w:vMerge w:val="restart"/>
            <w:tcBorders>
              <w:top w:val="single" w:color="000000" w:sz="4" w:space="0"/>
              <w:left w:val="single" w:color="000000" w:sz="4" w:space="0"/>
              <w:bottom w:val="single" w:color="000000" w:sz="4" w:space="0"/>
              <w:right w:val="single" w:color="000000" w:sz="4" w:space="0"/>
            </w:tcBorders>
            <w:noWrap w:val="0"/>
            <w:vAlign w:val="center"/>
          </w:tcPr>
          <w:p w14:paraId="26994B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消防应急广播系统</w:t>
            </w: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526DB9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应急广播音源、功放、分配类设备</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3C3B9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检查设备指示灯、显示屏、音响器件，应完好有效；</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17DFA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4E8C34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采用清洁工具清洁设备接线端子处的灰尘；</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695848C">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E339BDF">
            <w:pPr>
              <w:rPr>
                <w:rFonts w:hint="eastAsia" w:ascii="宋体" w:hAnsi="宋体" w:eastAsia="宋体" w:cs="宋体"/>
                <w:i w:val="0"/>
                <w:iCs w:val="0"/>
                <w:color w:val="000000"/>
                <w:sz w:val="20"/>
                <w:szCs w:val="20"/>
                <w:u w:val="none"/>
              </w:rPr>
            </w:pPr>
          </w:p>
        </w:tc>
      </w:tr>
      <w:tr w14:paraId="01680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F0367C">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6F4885">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C7E0E9">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40425E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检查设备接线端子有无松脱现象，线标端子标识是否清晰，设备接口是否接触不良；</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D2F92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5CE732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紧固连接松动的设备端子，更换不清晰的标识、有锈蚀痕迹的端子垫片等部件；</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1E665E1">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7006290F">
            <w:pPr>
              <w:rPr>
                <w:rFonts w:hint="eastAsia" w:ascii="宋体" w:hAnsi="宋体" w:eastAsia="宋体" w:cs="宋体"/>
                <w:i w:val="0"/>
                <w:iCs w:val="0"/>
                <w:color w:val="000000"/>
                <w:sz w:val="20"/>
                <w:szCs w:val="20"/>
                <w:u w:val="none"/>
              </w:rPr>
            </w:pPr>
          </w:p>
        </w:tc>
      </w:tr>
      <w:tr w14:paraId="2A5AB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A821E5">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EEA4F6">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F3BFB0">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6906C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检查设备各项功能应正常；</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5E674F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4B347D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电压值不满足说明书规定值时，应调整线路或更换故障设备；</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FEAF422">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2F52EB24">
            <w:pPr>
              <w:rPr>
                <w:rFonts w:hint="eastAsia" w:ascii="宋体" w:hAnsi="宋体" w:eastAsia="宋体" w:cs="宋体"/>
                <w:i w:val="0"/>
                <w:iCs w:val="0"/>
                <w:color w:val="000000"/>
                <w:sz w:val="20"/>
                <w:szCs w:val="20"/>
                <w:u w:val="none"/>
              </w:rPr>
            </w:pPr>
          </w:p>
        </w:tc>
      </w:tr>
      <w:tr w14:paraId="558AA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B429EA">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7EA473">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6EF190">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78321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用万用表测量设备各项输出电压，应符合产品设计要求。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1F1AB5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003067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电池应按照产品说明书要求保养。</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8C61963">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3D36735C">
            <w:pPr>
              <w:rPr>
                <w:rFonts w:hint="eastAsia" w:ascii="宋体" w:hAnsi="宋体" w:eastAsia="宋体" w:cs="宋体"/>
                <w:i w:val="0"/>
                <w:iCs w:val="0"/>
                <w:color w:val="000000"/>
                <w:sz w:val="20"/>
                <w:szCs w:val="20"/>
                <w:u w:val="none"/>
              </w:rPr>
            </w:pPr>
          </w:p>
        </w:tc>
      </w:tr>
      <w:tr w14:paraId="2F9CE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D8DBAE">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32650C">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7A69AB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扬声器</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4355C1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检查扬声器工作状态是否正常；</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1F8C26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31966A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重新紧固连接松动的端子，更换有锈蚀痕迹的螺丝、端子垫片等接线部件，去除有锈蚀的导线端、搪锡后重新连接；</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E8525BE">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657CE4FF">
            <w:pPr>
              <w:rPr>
                <w:rFonts w:hint="eastAsia" w:ascii="宋体" w:hAnsi="宋体" w:eastAsia="宋体" w:cs="宋体"/>
                <w:i w:val="0"/>
                <w:iCs w:val="0"/>
                <w:color w:val="000000"/>
                <w:sz w:val="20"/>
                <w:szCs w:val="20"/>
                <w:u w:val="none"/>
              </w:rPr>
            </w:pPr>
          </w:p>
        </w:tc>
      </w:tr>
      <w:tr w14:paraId="2057D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631623">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21F0EE">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4A50AE">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ADDFD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检查扬声器声响分贝数，应满足设计要求。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96672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00101B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采用专用清洁工具或软布及适当的清洁剂清洗扬声器表面污渍。</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C5E7B1A">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7B222A1C">
            <w:pPr>
              <w:rPr>
                <w:rFonts w:hint="eastAsia" w:ascii="宋体" w:hAnsi="宋体" w:eastAsia="宋体" w:cs="宋体"/>
                <w:i w:val="0"/>
                <w:iCs w:val="0"/>
                <w:color w:val="000000"/>
                <w:sz w:val="20"/>
                <w:szCs w:val="20"/>
                <w:u w:val="none"/>
              </w:rPr>
            </w:pPr>
          </w:p>
        </w:tc>
      </w:tr>
      <w:tr w14:paraId="45905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96A115">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98ED24">
            <w:pPr>
              <w:jc w:val="center"/>
              <w:rPr>
                <w:rFonts w:hint="eastAsia" w:ascii="宋体" w:hAnsi="宋体" w:eastAsia="宋体" w:cs="宋体"/>
                <w:i w:val="0"/>
                <w:iCs w:val="0"/>
                <w:color w:val="000000"/>
                <w:sz w:val="20"/>
                <w:szCs w:val="20"/>
                <w:u w:val="none"/>
              </w:rPr>
            </w:pP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0B91AB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模块类设备</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40035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检查模块类设备工作状态是否正常。</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B6309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1E928A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重新紧固连接松动的端子，更换有锈蚀痕迹的螺丝、端子垫片等接线部件，去除有锈蚀的导线端、搪锡后重新连接。</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54E2325">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075FF483">
            <w:pPr>
              <w:rPr>
                <w:rFonts w:hint="eastAsia" w:ascii="宋体" w:hAnsi="宋体" w:eastAsia="宋体" w:cs="宋体"/>
                <w:i w:val="0"/>
                <w:iCs w:val="0"/>
                <w:color w:val="000000"/>
                <w:sz w:val="20"/>
                <w:szCs w:val="20"/>
                <w:u w:val="none"/>
              </w:rPr>
            </w:pPr>
          </w:p>
        </w:tc>
      </w:tr>
      <w:tr w14:paraId="09969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restart"/>
            <w:tcBorders>
              <w:top w:val="single" w:color="000000" w:sz="4" w:space="0"/>
              <w:left w:val="single" w:color="000000" w:sz="4" w:space="0"/>
              <w:bottom w:val="single" w:color="000000" w:sz="4" w:space="0"/>
              <w:right w:val="single" w:color="000000" w:sz="4" w:space="0"/>
            </w:tcBorders>
            <w:noWrap w:val="0"/>
            <w:vAlign w:val="center"/>
          </w:tcPr>
          <w:p w14:paraId="3818E89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w:t>
            </w:r>
          </w:p>
        </w:tc>
        <w:tc>
          <w:tcPr>
            <w:tcW w:w="1341" w:type="dxa"/>
            <w:vMerge w:val="restart"/>
            <w:tcBorders>
              <w:top w:val="single" w:color="000000" w:sz="4" w:space="0"/>
              <w:left w:val="single" w:color="000000" w:sz="4" w:space="0"/>
              <w:bottom w:val="single" w:color="000000" w:sz="4" w:space="0"/>
              <w:right w:val="single" w:color="000000" w:sz="4" w:space="0"/>
            </w:tcBorders>
            <w:noWrap w:val="0"/>
            <w:vAlign w:val="center"/>
          </w:tcPr>
          <w:p w14:paraId="6C8902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消防专用电话系统</w:t>
            </w: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6BBCD7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消防专用电话主机设备</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6A497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检查消防专用电话主机设备各指示灯，显示屏、音响器件，应完好有效；</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77A37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00D1AF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采用清洁工具清洁主机接线端子的灰尘；</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9BCAF2F">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6F963574">
            <w:pPr>
              <w:rPr>
                <w:rFonts w:hint="eastAsia" w:ascii="宋体" w:hAnsi="宋体" w:eastAsia="宋体" w:cs="宋体"/>
                <w:i w:val="0"/>
                <w:iCs w:val="0"/>
                <w:color w:val="000000"/>
                <w:sz w:val="20"/>
                <w:szCs w:val="20"/>
                <w:u w:val="none"/>
              </w:rPr>
            </w:pPr>
          </w:p>
        </w:tc>
      </w:tr>
      <w:tr w14:paraId="2CADB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F62CB8">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B2CC4B">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691A97">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D8325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检查设备接线端子有无松脱，线标端子标识是否清晰，设备接口是否接触良好；</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D8C18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5C5253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紧固连接松动的设备端子，更换不清晰的标识、有锈蚀痕迹的端子垫片等部件；</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46BB2E6">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6F5940EB">
            <w:pPr>
              <w:rPr>
                <w:rFonts w:hint="eastAsia" w:ascii="宋体" w:hAnsi="宋体" w:eastAsia="宋体" w:cs="宋体"/>
                <w:i w:val="0"/>
                <w:iCs w:val="0"/>
                <w:color w:val="000000"/>
                <w:sz w:val="20"/>
                <w:szCs w:val="20"/>
                <w:u w:val="none"/>
              </w:rPr>
            </w:pPr>
          </w:p>
        </w:tc>
      </w:tr>
      <w:tr w14:paraId="2C6C9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FBC570">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5E154A">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10F3C2">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1B493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检查主机各项功能应正常；</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71419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5E8186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设备输出电压值不满足说明书规定值时，应调整线路或更换故障设备；</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F60D2A5">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408C1F42">
            <w:pPr>
              <w:rPr>
                <w:rFonts w:hint="eastAsia" w:ascii="宋体" w:hAnsi="宋体" w:eastAsia="宋体" w:cs="宋体"/>
                <w:i w:val="0"/>
                <w:iCs w:val="0"/>
                <w:color w:val="000000"/>
                <w:sz w:val="20"/>
                <w:szCs w:val="20"/>
                <w:u w:val="none"/>
              </w:rPr>
            </w:pPr>
          </w:p>
        </w:tc>
      </w:tr>
      <w:tr w14:paraId="763F5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5910C7">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5EF870">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2BA223">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9EC3D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用万用表测量主机各项输出电压，应满足产品设计要求。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C3D82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10FB93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电池按照产品说明书要求保养。</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7E9E42B">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07670FDD">
            <w:pPr>
              <w:rPr>
                <w:rFonts w:hint="eastAsia" w:ascii="宋体" w:hAnsi="宋体" w:eastAsia="宋体" w:cs="宋体"/>
                <w:i w:val="0"/>
                <w:iCs w:val="0"/>
                <w:color w:val="000000"/>
                <w:sz w:val="20"/>
                <w:szCs w:val="20"/>
                <w:u w:val="none"/>
              </w:rPr>
            </w:pPr>
          </w:p>
        </w:tc>
      </w:tr>
      <w:tr w14:paraId="17F5B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32304B">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1891D1">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192F2C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消防专用电话分机</w:t>
            </w:r>
          </w:p>
        </w:tc>
        <w:tc>
          <w:tcPr>
            <w:tcW w:w="3994" w:type="dxa"/>
            <w:vMerge w:val="restart"/>
            <w:tcBorders>
              <w:top w:val="single" w:color="000000" w:sz="4" w:space="0"/>
              <w:left w:val="single" w:color="000000" w:sz="4" w:space="0"/>
              <w:bottom w:val="single" w:color="000000" w:sz="4" w:space="0"/>
              <w:right w:val="single" w:color="000000" w:sz="4" w:space="0"/>
            </w:tcBorders>
            <w:noWrap w:val="0"/>
            <w:vAlign w:val="center"/>
          </w:tcPr>
          <w:p w14:paraId="737DA7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检查消防专用电话分机工作状态是否正常</w:t>
            </w:r>
          </w:p>
        </w:tc>
        <w:tc>
          <w:tcPr>
            <w:tcW w:w="1078" w:type="dxa"/>
            <w:vMerge w:val="restart"/>
            <w:tcBorders>
              <w:top w:val="single" w:color="000000" w:sz="4" w:space="0"/>
              <w:left w:val="single" w:color="000000" w:sz="4" w:space="0"/>
              <w:bottom w:val="single" w:color="000000" w:sz="4" w:space="0"/>
              <w:right w:val="single" w:color="000000" w:sz="4" w:space="0"/>
            </w:tcBorders>
            <w:noWrap w:val="0"/>
            <w:vAlign w:val="center"/>
          </w:tcPr>
          <w:p w14:paraId="0B62BA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4D2D8F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重新紧固连接松动的端子，更换有锈蚀痕迹的螺丝、端子垫片等接线部件，去除有锈蚀的导线端，搪锡后重新连接；</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2311131">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015B8C68">
            <w:pPr>
              <w:rPr>
                <w:rFonts w:hint="eastAsia" w:ascii="宋体" w:hAnsi="宋体" w:eastAsia="宋体" w:cs="宋体"/>
                <w:i w:val="0"/>
                <w:iCs w:val="0"/>
                <w:color w:val="000000"/>
                <w:sz w:val="20"/>
                <w:szCs w:val="20"/>
                <w:u w:val="none"/>
              </w:rPr>
            </w:pPr>
          </w:p>
        </w:tc>
      </w:tr>
      <w:tr w14:paraId="06171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0BB956">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C30E95">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CA145E">
            <w:pPr>
              <w:jc w:val="center"/>
              <w:rPr>
                <w:rFonts w:hint="eastAsia" w:ascii="宋体" w:hAnsi="宋体" w:eastAsia="宋体" w:cs="宋体"/>
                <w:i w:val="0"/>
                <w:iCs w:val="0"/>
                <w:color w:val="000000"/>
                <w:sz w:val="20"/>
                <w:szCs w:val="20"/>
                <w:u w:val="none"/>
              </w:rPr>
            </w:pPr>
          </w:p>
        </w:tc>
        <w:tc>
          <w:tcPr>
            <w:tcW w:w="39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916D1A">
            <w:pPr>
              <w:jc w:val="left"/>
              <w:rPr>
                <w:rFonts w:hint="eastAsia" w:ascii="宋体" w:hAnsi="宋体" w:eastAsia="宋体" w:cs="宋体"/>
                <w:i w:val="0"/>
                <w:iCs w:val="0"/>
                <w:color w:val="000000"/>
                <w:sz w:val="20"/>
                <w:szCs w:val="20"/>
                <w:u w:val="none"/>
              </w:rPr>
            </w:pPr>
          </w:p>
        </w:tc>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D54176">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5E7A87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采用专用清洁工具或软布及适当的清洁剂清洗消防专用电话分机表面污渍。</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98BC8E7">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AFF99A4">
            <w:pPr>
              <w:rPr>
                <w:rFonts w:hint="eastAsia" w:ascii="宋体" w:hAnsi="宋体" w:eastAsia="宋体" w:cs="宋体"/>
                <w:i w:val="0"/>
                <w:iCs w:val="0"/>
                <w:color w:val="000000"/>
                <w:sz w:val="20"/>
                <w:szCs w:val="20"/>
                <w:u w:val="none"/>
              </w:rPr>
            </w:pPr>
          </w:p>
        </w:tc>
      </w:tr>
      <w:tr w14:paraId="4D2CF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2B48D7">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F97368">
            <w:pPr>
              <w:jc w:val="center"/>
              <w:rPr>
                <w:rFonts w:hint="eastAsia" w:ascii="宋体" w:hAnsi="宋体" w:eastAsia="宋体" w:cs="宋体"/>
                <w:i w:val="0"/>
                <w:iCs w:val="0"/>
                <w:color w:val="000000"/>
                <w:sz w:val="20"/>
                <w:szCs w:val="20"/>
                <w:u w:val="none"/>
              </w:rPr>
            </w:pP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4F7B09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消防专用电话插孔</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957F4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使用便携式手柄电话检查消防专用电话插孔的通信功能。</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4206DE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12BFB8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重新紧固连接松动的端子，更换有锈蚀痕迹的螺丝、端子垫片等接线部件，去除有锈蚀的导线端，搪锡后重新连接。</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A7C1D00">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DFAC52D">
            <w:pPr>
              <w:rPr>
                <w:rFonts w:hint="eastAsia" w:ascii="宋体" w:hAnsi="宋体" w:eastAsia="宋体" w:cs="宋体"/>
                <w:i w:val="0"/>
                <w:iCs w:val="0"/>
                <w:color w:val="000000"/>
                <w:sz w:val="20"/>
                <w:szCs w:val="20"/>
                <w:u w:val="none"/>
              </w:rPr>
            </w:pPr>
          </w:p>
        </w:tc>
      </w:tr>
      <w:tr w14:paraId="689BE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72" w:type="dxa"/>
            <w:vMerge w:val="restart"/>
            <w:tcBorders>
              <w:top w:val="single" w:color="000000" w:sz="4" w:space="0"/>
              <w:left w:val="single" w:color="000000" w:sz="4" w:space="0"/>
              <w:bottom w:val="single" w:color="000000" w:sz="4" w:space="0"/>
              <w:right w:val="single" w:color="000000" w:sz="4" w:space="0"/>
            </w:tcBorders>
            <w:noWrap w:val="0"/>
            <w:vAlign w:val="center"/>
          </w:tcPr>
          <w:p w14:paraId="6E8B57B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w:t>
            </w:r>
          </w:p>
        </w:tc>
        <w:tc>
          <w:tcPr>
            <w:tcW w:w="1341" w:type="dxa"/>
            <w:vMerge w:val="restart"/>
            <w:tcBorders>
              <w:top w:val="single" w:color="000000" w:sz="4" w:space="0"/>
              <w:left w:val="single" w:color="000000" w:sz="4" w:space="0"/>
              <w:bottom w:val="single" w:color="000000" w:sz="4" w:space="0"/>
              <w:right w:val="single" w:color="000000" w:sz="4" w:space="0"/>
            </w:tcBorders>
            <w:noWrap w:val="0"/>
            <w:vAlign w:val="center"/>
          </w:tcPr>
          <w:p w14:paraId="616A54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防火分隔设施</w:t>
            </w: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105CDF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防火卷帘</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A6C9C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检查防火卷帘金属表面是否有裂纹、压坑及明显的凹凸、锤痕、毛刺、空洞等缺陷，表面防锈处理，涂层、镀层是否均匀，不得有斑驳、流淌现象；</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B3831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429D51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帘面清理，除锈、润滑、修补，保持平整清洁；</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F7714FC">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4447A967">
            <w:pPr>
              <w:rPr>
                <w:rFonts w:hint="eastAsia" w:ascii="宋体" w:hAnsi="宋体" w:eastAsia="宋体" w:cs="宋体"/>
                <w:i w:val="0"/>
                <w:iCs w:val="0"/>
                <w:color w:val="000000"/>
                <w:sz w:val="20"/>
                <w:szCs w:val="20"/>
                <w:u w:val="none"/>
              </w:rPr>
            </w:pPr>
          </w:p>
        </w:tc>
      </w:tr>
      <w:tr w14:paraId="01D47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01E8F6">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9EEE25">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51D0E6">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2259C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检查防火卷帘无机纤维复合帘面是否有撕裂、缺角、挖补、破洞、倾斜、跳线、断线、经纬纱密度明显不匀及色差等缺陷。夹板应平直，夹持应牢固，基布的经向应是帘面的受力方向；</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58E58A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707EF5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加固各紧固件；</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3A05648">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226C4BF7">
            <w:pPr>
              <w:rPr>
                <w:rFonts w:hint="eastAsia" w:ascii="宋体" w:hAnsi="宋体" w:eastAsia="宋体" w:cs="宋体"/>
                <w:i w:val="0"/>
                <w:iCs w:val="0"/>
                <w:color w:val="000000"/>
                <w:sz w:val="20"/>
                <w:szCs w:val="20"/>
                <w:u w:val="none"/>
              </w:rPr>
            </w:pPr>
          </w:p>
        </w:tc>
      </w:tr>
      <w:tr w14:paraId="2F9C6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F6B42F">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3B5A78">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1F958B">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E8E2C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检查各零部件的组装拼接处是否有错位，焊接处是否牢固，外观是否平整；</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12D20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583FAF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清洁、润滑卷门机；</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0BA77014">
            <w:pPr>
              <w:jc w:val="center"/>
              <w:rPr>
                <w:rFonts w:hint="eastAsia" w:ascii="宋体" w:hAnsi="宋体" w:eastAsia="宋体" w:cs="宋体"/>
                <w:i w:val="0"/>
                <w:iCs w:val="0"/>
                <w:color w:val="000000"/>
                <w:sz w:val="20"/>
                <w:szCs w:val="20"/>
                <w:u w:val="none"/>
              </w:rPr>
            </w:pP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72DD9312">
            <w:pPr>
              <w:jc w:val="center"/>
              <w:rPr>
                <w:rFonts w:hint="eastAsia" w:ascii="宋体" w:hAnsi="宋体" w:eastAsia="宋体" w:cs="宋体"/>
                <w:i w:val="0"/>
                <w:iCs w:val="0"/>
                <w:color w:val="000000"/>
                <w:sz w:val="20"/>
                <w:szCs w:val="20"/>
                <w:u w:val="none"/>
              </w:rPr>
            </w:pPr>
          </w:p>
        </w:tc>
      </w:tr>
      <w:tr w14:paraId="137EA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93C925">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6FBD77">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8A3C27">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4712C3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检查紧固件是否牢固，不应有松动现象；</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68118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531373">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DC8885">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BAA3A3">
            <w:pPr>
              <w:jc w:val="center"/>
              <w:rPr>
                <w:rFonts w:hint="eastAsia" w:ascii="宋体" w:hAnsi="宋体" w:eastAsia="宋体" w:cs="宋体"/>
                <w:i w:val="0"/>
                <w:iCs w:val="0"/>
                <w:color w:val="000000"/>
                <w:sz w:val="20"/>
                <w:szCs w:val="20"/>
                <w:u w:val="none"/>
              </w:rPr>
            </w:pPr>
          </w:p>
        </w:tc>
      </w:tr>
      <w:tr w14:paraId="3A261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395B84">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813328">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D66F3A">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7F182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检查钢质防火卷帘帘板是否转动灵活、装配牢固，材料平直，修补孔洞及缝隙，润滑、清洁帘板表面；</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526F05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每季度</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7A5639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清洁温控释放装置；</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6BE46978">
            <w:pPr>
              <w:jc w:val="center"/>
              <w:rPr>
                <w:rFonts w:hint="eastAsia" w:ascii="宋体" w:hAnsi="宋体" w:eastAsia="宋体" w:cs="宋体"/>
                <w:i w:val="0"/>
                <w:iCs w:val="0"/>
                <w:color w:val="000000"/>
                <w:sz w:val="20"/>
                <w:szCs w:val="20"/>
                <w:u w:val="none"/>
              </w:rPr>
            </w:pP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241190F8">
            <w:pPr>
              <w:jc w:val="center"/>
              <w:rPr>
                <w:rFonts w:hint="eastAsia" w:ascii="宋体" w:hAnsi="宋体" w:eastAsia="宋体" w:cs="宋体"/>
                <w:i w:val="0"/>
                <w:iCs w:val="0"/>
                <w:color w:val="000000"/>
                <w:sz w:val="20"/>
                <w:szCs w:val="20"/>
                <w:u w:val="none"/>
              </w:rPr>
            </w:pPr>
          </w:p>
        </w:tc>
      </w:tr>
      <w:tr w14:paraId="32BDB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EDC28E">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CAC0D1">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9C35B2">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66CCC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导轨的滑动面是否光滑、平直，帘面在导轨内运行应平稳顺畅，不应有碰撞、冲击现象。检查单帘面卷帘的两根导轨是否相互平行，双帘面不同帘面的导轨是否相互平行。检查防火防烟卷帘导轨内设置的防烟装置与帘面是否均匀紧密贴合并满足贴合长度的要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5E4DB1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A0F34E">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105D5C">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F4EF21">
            <w:pPr>
              <w:jc w:val="center"/>
              <w:rPr>
                <w:rFonts w:hint="eastAsia" w:ascii="宋体" w:hAnsi="宋体" w:eastAsia="宋体" w:cs="宋体"/>
                <w:i w:val="0"/>
                <w:iCs w:val="0"/>
                <w:color w:val="000000"/>
                <w:sz w:val="20"/>
                <w:szCs w:val="20"/>
                <w:u w:val="none"/>
              </w:rPr>
            </w:pPr>
          </w:p>
        </w:tc>
      </w:tr>
      <w:tr w14:paraId="7AE40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604A9F">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4ABE40">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48AAF0">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8663C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检查座板与地面是否平行并接触应均匀，座板与帘板或帘面之间连接是否牢固，无机复合防火卷帘的座板是否保证帘面下降顺畅并应保障帘面具有适当垂悬度；</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AA0A3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42FA97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清洁箱体表面,并做除锈、防锈处理；</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57A45E32">
            <w:pPr>
              <w:jc w:val="center"/>
              <w:rPr>
                <w:rFonts w:hint="eastAsia" w:ascii="宋体" w:hAnsi="宋体" w:eastAsia="宋体" w:cs="宋体"/>
                <w:i w:val="0"/>
                <w:iCs w:val="0"/>
                <w:color w:val="000000"/>
                <w:sz w:val="20"/>
                <w:szCs w:val="20"/>
                <w:u w:val="none"/>
              </w:rPr>
            </w:pP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3B85719B">
            <w:pPr>
              <w:jc w:val="center"/>
              <w:rPr>
                <w:rFonts w:hint="eastAsia" w:ascii="宋体" w:hAnsi="宋体" w:eastAsia="宋体" w:cs="宋体"/>
                <w:i w:val="0"/>
                <w:iCs w:val="0"/>
                <w:color w:val="000000"/>
                <w:sz w:val="20"/>
                <w:szCs w:val="20"/>
                <w:u w:val="none"/>
              </w:rPr>
            </w:pPr>
          </w:p>
        </w:tc>
      </w:tr>
      <w:tr w14:paraId="51C77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ABDE92">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2BAABB">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9B0723">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D30C0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检查门楣安装是否牢固，门楣内防烟装置与卷帘帘板或帘面表面是否均匀紧密贴合，贴合长度和非贴合缝隙是否满足要求；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16C79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每季度</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4BA2DA">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9C4F7D">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A0382E">
            <w:pPr>
              <w:jc w:val="center"/>
              <w:rPr>
                <w:rFonts w:hint="eastAsia" w:ascii="宋体" w:hAnsi="宋体" w:eastAsia="宋体" w:cs="宋体"/>
                <w:i w:val="0"/>
                <w:iCs w:val="0"/>
                <w:color w:val="000000"/>
                <w:sz w:val="20"/>
                <w:szCs w:val="20"/>
                <w:u w:val="none"/>
              </w:rPr>
            </w:pPr>
          </w:p>
        </w:tc>
      </w:tr>
      <w:tr w14:paraId="61D30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6685D2">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B130FA">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FE566F">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E0814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检查卷门机安装是否牢固，手动拉链和手动速放装置的标识是否明显、在位、工作正常；</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08A04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38DCC3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修补或更换缺少、失效的防火封堵材料；</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3E0D5B7F">
            <w:pPr>
              <w:jc w:val="center"/>
              <w:rPr>
                <w:rFonts w:hint="eastAsia" w:ascii="宋体" w:hAnsi="宋体" w:eastAsia="宋体" w:cs="宋体"/>
                <w:i w:val="0"/>
                <w:iCs w:val="0"/>
                <w:color w:val="000000"/>
                <w:sz w:val="20"/>
                <w:szCs w:val="20"/>
                <w:u w:val="none"/>
              </w:rPr>
            </w:pP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22C2257E">
            <w:pPr>
              <w:jc w:val="center"/>
              <w:rPr>
                <w:rFonts w:hint="eastAsia" w:ascii="宋体" w:hAnsi="宋体" w:eastAsia="宋体" w:cs="宋体"/>
                <w:i w:val="0"/>
                <w:iCs w:val="0"/>
                <w:color w:val="000000"/>
                <w:sz w:val="20"/>
                <w:szCs w:val="20"/>
                <w:u w:val="none"/>
              </w:rPr>
            </w:pPr>
          </w:p>
        </w:tc>
      </w:tr>
      <w:tr w14:paraId="4FB1F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41F0DF">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A67A2C">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5DDE23">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8A288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检查箱体外观状况；</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466828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8CE903">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D5CE95">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242F0F">
            <w:pPr>
              <w:jc w:val="center"/>
              <w:rPr>
                <w:rFonts w:hint="eastAsia" w:ascii="宋体" w:hAnsi="宋体" w:eastAsia="宋体" w:cs="宋体"/>
                <w:i w:val="0"/>
                <w:iCs w:val="0"/>
                <w:color w:val="000000"/>
                <w:sz w:val="20"/>
                <w:szCs w:val="20"/>
                <w:u w:val="none"/>
              </w:rPr>
            </w:pPr>
          </w:p>
        </w:tc>
      </w:tr>
      <w:tr w14:paraId="54FA5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902314">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EC1D10">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DEBC40">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6F54B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检查温控释放装置的外观是否完好，安装位置是否符合设计要求；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125734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44C402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紧固连接松动的端子；更换有锈蚀痕迹的螺钉、端子垫片。去除有锈蚀的导线端、搪锡后重新连接。卷帘门控制器及手动按钮盒内清洁除尘；</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5C0B043C">
            <w:pPr>
              <w:jc w:val="center"/>
              <w:rPr>
                <w:rFonts w:hint="eastAsia" w:ascii="宋体" w:hAnsi="宋体" w:eastAsia="宋体" w:cs="宋体"/>
                <w:i w:val="0"/>
                <w:iCs w:val="0"/>
                <w:color w:val="000000"/>
                <w:sz w:val="20"/>
                <w:szCs w:val="20"/>
                <w:u w:val="none"/>
              </w:rPr>
            </w:pP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20801791">
            <w:pPr>
              <w:jc w:val="center"/>
              <w:rPr>
                <w:rFonts w:hint="eastAsia" w:ascii="宋体" w:hAnsi="宋体" w:eastAsia="宋体" w:cs="宋体"/>
                <w:i w:val="0"/>
                <w:iCs w:val="0"/>
                <w:color w:val="000000"/>
                <w:sz w:val="20"/>
                <w:szCs w:val="20"/>
                <w:u w:val="none"/>
              </w:rPr>
            </w:pPr>
          </w:p>
        </w:tc>
      </w:tr>
      <w:tr w14:paraId="1C2F3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1EA877">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FC5198">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AE8916">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88CC3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检查防火卷帘封堵是否完好、严密；</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8E584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12D4D8">
            <w:pPr>
              <w:jc w:val="center"/>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283965">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EA1277">
            <w:pPr>
              <w:jc w:val="center"/>
              <w:rPr>
                <w:rFonts w:hint="eastAsia" w:ascii="宋体" w:hAnsi="宋体" w:eastAsia="宋体" w:cs="宋体"/>
                <w:i w:val="0"/>
                <w:iCs w:val="0"/>
                <w:color w:val="000000"/>
                <w:sz w:val="20"/>
                <w:szCs w:val="20"/>
                <w:u w:val="none"/>
              </w:rPr>
            </w:pPr>
          </w:p>
        </w:tc>
      </w:tr>
      <w:tr w14:paraId="5E7B6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F729CF">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40C21B">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3EF8E7">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EFFEB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检查卷帘控制器及手动按钮盒的安装是否牢固可靠，控制器的金属件接地点标识是否明显，接地是否正常，连接地线的螺钉不应作其他紧固用；检查卷帘门控制器及手动按钮盒内的接线端子不应松动、锈蚀；</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00683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1F5D52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易熔片（温感器）应有10%且不少于10只备用件。</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6AD21988">
            <w:pPr>
              <w:jc w:val="center"/>
              <w:rPr>
                <w:rFonts w:hint="eastAsia" w:ascii="宋体" w:hAnsi="宋体" w:eastAsia="宋体" w:cs="宋体"/>
                <w:i w:val="0"/>
                <w:iCs w:val="0"/>
                <w:color w:val="000000"/>
                <w:sz w:val="20"/>
                <w:szCs w:val="20"/>
                <w:u w:val="none"/>
              </w:rPr>
            </w:pP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5CD06B88">
            <w:pPr>
              <w:jc w:val="center"/>
              <w:rPr>
                <w:rFonts w:hint="eastAsia" w:ascii="宋体" w:hAnsi="宋体" w:eastAsia="宋体" w:cs="宋体"/>
                <w:i w:val="0"/>
                <w:iCs w:val="0"/>
                <w:color w:val="000000"/>
                <w:sz w:val="20"/>
                <w:szCs w:val="20"/>
                <w:u w:val="none"/>
              </w:rPr>
            </w:pPr>
          </w:p>
        </w:tc>
      </w:tr>
      <w:tr w14:paraId="6E720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F87702">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F2992B">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F7A161">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D6E51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检查防火卷帘电气线路敷设安装情况、线路老化情况。</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EB2DB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ABDFF4">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62BE37">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CF4B5B">
            <w:pPr>
              <w:jc w:val="center"/>
              <w:rPr>
                <w:rFonts w:hint="eastAsia" w:ascii="宋体" w:hAnsi="宋体" w:eastAsia="宋体" w:cs="宋体"/>
                <w:i w:val="0"/>
                <w:iCs w:val="0"/>
                <w:color w:val="000000"/>
                <w:sz w:val="20"/>
                <w:szCs w:val="20"/>
                <w:u w:val="none"/>
              </w:rPr>
            </w:pPr>
          </w:p>
        </w:tc>
      </w:tr>
      <w:tr w14:paraId="77EC7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0B415B">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3339BA">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4D3702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防火门</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78B5D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检查防火门门框、门扇及各配件表面是否平整、光洁，有无明显凹痕、机械损伤；</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115ED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5B8549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防火门表面及各配件清洁、除锈、润滑；</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A7EAE4A">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3FFD414">
            <w:pPr>
              <w:rPr>
                <w:rFonts w:hint="eastAsia" w:ascii="宋体" w:hAnsi="宋体" w:eastAsia="宋体" w:cs="宋体"/>
                <w:i w:val="0"/>
                <w:iCs w:val="0"/>
                <w:color w:val="000000"/>
                <w:sz w:val="20"/>
                <w:szCs w:val="20"/>
                <w:u w:val="none"/>
              </w:rPr>
            </w:pPr>
          </w:p>
        </w:tc>
      </w:tr>
      <w:tr w14:paraId="31A36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9D6056">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0078D3">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39846F">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2E7A2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检查常闭防火门闭门器、顺序器；</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135E02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4CCFBE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清洁闭门器、顺序器及各类控制、信号反馈装置、手动控制装置，修复或更换损坏部件；</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7572BAC">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167DE33">
            <w:pPr>
              <w:rPr>
                <w:rFonts w:hint="eastAsia" w:ascii="宋体" w:hAnsi="宋体" w:eastAsia="宋体" w:cs="宋体"/>
                <w:i w:val="0"/>
                <w:iCs w:val="0"/>
                <w:color w:val="000000"/>
                <w:sz w:val="20"/>
                <w:szCs w:val="20"/>
                <w:u w:val="none"/>
              </w:rPr>
            </w:pPr>
          </w:p>
        </w:tc>
      </w:tr>
      <w:tr w14:paraId="13978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E9A822">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E5644D">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1D5D8C">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E59BD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检查常开防火门控制、信号反馈装置、现场手动控制装置；</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B70D0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7AE220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加固防火插销；</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24AAAF0">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7CE5514C">
            <w:pPr>
              <w:rPr>
                <w:rFonts w:hint="eastAsia" w:ascii="宋体" w:hAnsi="宋体" w:eastAsia="宋体" w:cs="宋体"/>
                <w:i w:val="0"/>
                <w:iCs w:val="0"/>
                <w:color w:val="000000"/>
                <w:sz w:val="20"/>
                <w:szCs w:val="20"/>
                <w:u w:val="none"/>
              </w:rPr>
            </w:pPr>
          </w:p>
        </w:tc>
      </w:tr>
      <w:tr w14:paraId="29CB3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C4591A">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6F9EC4">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3B9025">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8EA14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每年检查防火插销；</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1741A0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2D49C7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修复或更换防火密封件。</w:t>
            </w:r>
          </w:p>
        </w:tc>
        <w:tc>
          <w:tcPr>
            <w:tcW w:w="1050" w:type="dxa"/>
            <w:vMerge w:val="restart"/>
            <w:tcBorders>
              <w:top w:val="single" w:color="000000" w:sz="4" w:space="0"/>
              <w:left w:val="single" w:color="000000" w:sz="4" w:space="0"/>
              <w:bottom w:val="single" w:color="000000" w:sz="4" w:space="0"/>
              <w:right w:val="single" w:color="000000" w:sz="4" w:space="0"/>
            </w:tcBorders>
            <w:noWrap/>
            <w:vAlign w:val="center"/>
          </w:tcPr>
          <w:p w14:paraId="03E83583">
            <w:pPr>
              <w:jc w:val="center"/>
              <w:rPr>
                <w:rFonts w:hint="eastAsia" w:ascii="宋体" w:hAnsi="宋体" w:eastAsia="宋体" w:cs="宋体"/>
                <w:i w:val="0"/>
                <w:iCs w:val="0"/>
                <w:color w:val="000000"/>
                <w:sz w:val="20"/>
                <w:szCs w:val="20"/>
                <w:u w:val="none"/>
              </w:rPr>
            </w:pPr>
          </w:p>
        </w:tc>
        <w:tc>
          <w:tcPr>
            <w:tcW w:w="806" w:type="dxa"/>
            <w:vMerge w:val="restart"/>
            <w:tcBorders>
              <w:top w:val="single" w:color="000000" w:sz="4" w:space="0"/>
              <w:left w:val="single" w:color="000000" w:sz="4" w:space="0"/>
              <w:bottom w:val="single" w:color="000000" w:sz="4" w:space="0"/>
              <w:right w:val="single" w:color="000000" w:sz="4" w:space="0"/>
            </w:tcBorders>
            <w:noWrap/>
            <w:vAlign w:val="center"/>
          </w:tcPr>
          <w:p w14:paraId="211CFBCB">
            <w:pPr>
              <w:jc w:val="center"/>
              <w:rPr>
                <w:rFonts w:hint="eastAsia" w:ascii="宋体" w:hAnsi="宋体" w:eastAsia="宋体" w:cs="宋体"/>
                <w:i w:val="0"/>
                <w:iCs w:val="0"/>
                <w:color w:val="000000"/>
                <w:sz w:val="20"/>
                <w:szCs w:val="20"/>
                <w:u w:val="none"/>
              </w:rPr>
            </w:pPr>
          </w:p>
        </w:tc>
      </w:tr>
      <w:tr w14:paraId="11233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9A0723">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3F311A">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80B98A">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4F8AD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检查门框与门扇、门扇与门扇缝隙处嵌装的防火密封件。</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150CD4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6A740A">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ign w:val="center"/>
          </w:tcPr>
          <w:p w14:paraId="4A4E14AB">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ign w:val="center"/>
          </w:tcPr>
          <w:p w14:paraId="4B91AFA1">
            <w:pPr>
              <w:jc w:val="center"/>
              <w:rPr>
                <w:rFonts w:hint="eastAsia" w:ascii="宋体" w:hAnsi="宋体" w:eastAsia="宋体" w:cs="宋体"/>
                <w:i w:val="0"/>
                <w:iCs w:val="0"/>
                <w:color w:val="000000"/>
                <w:sz w:val="20"/>
                <w:szCs w:val="20"/>
                <w:u w:val="none"/>
              </w:rPr>
            </w:pPr>
          </w:p>
        </w:tc>
      </w:tr>
      <w:tr w14:paraId="671F2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BC0B98">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7AFE68">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683640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防火窗</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791C7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检查防火窗及各配件表面是否平整、光洁，有无明显凹痕、机械损伤；</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E99F9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2E825F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防火窗及各配件清洁、除锈、润滑；</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42D1572">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30E33731">
            <w:pPr>
              <w:rPr>
                <w:rFonts w:hint="eastAsia" w:ascii="宋体" w:hAnsi="宋体" w:eastAsia="宋体" w:cs="宋体"/>
                <w:i w:val="0"/>
                <w:iCs w:val="0"/>
                <w:color w:val="000000"/>
                <w:sz w:val="20"/>
                <w:szCs w:val="20"/>
                <w:u w:val="none"/>
              </w:rPr>
            </w:pPr>
          </w:p>
        </w:tc>
      </w:tr>
      <w:tr w14:paraId="0EBE8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A0FE5E">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54082B">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B0F0C6">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4E2265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检查活动式防火窗启闭控制装置；</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1C0ED5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6A7488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清洁启闭控制装置、温控释放装置，修复或更换损坏部件；</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B8388CD">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394665A8">
            <w:pPr>
              <w:rPr>
                <w:rFonts w:hint="eastAsia" w:ascii="宋体" w:hAnsi="宋体" w:eastAsia="宋体" w:cs="宋体"/>
                <w:i w:val="0"/>
                <w:iCs w:val="0"/>
                <w:color w:val="000000"/>
                <w:sz w:val="20"/>
                <w:szCs w:val="20"/>
                <w:u w:val="none"/>
              </w:rPr>
            </w:pPr>
          </w:p>
        </w:tc>
      </w:tr>
      <w:tr w14:paraId="14C26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3B6B99">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F682E9">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AC9B58">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91629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检查活动式防火窗温控释放装置。</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105A3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135599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易熔片（温感器）应有10%且不少于10只备用件。</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B61CFF9">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3C1A1F54">
            <w:pPr>
              <w:rPr>
                <w:rFonts w:hint="eastAsia" w:ascii="宋体" w:hAnsi="宋体" w:eastAsia="宋体" w:cs="宋体"/>
                <w:i w:val="0"/>
                <w:iCs w:val="0"/>
                <w:color w:val="000000"/>
                <w:sz w:val="20"/>
                <w:szCs w:val="20"/>
                <w:u w:val="none"/>
              </w:rPr>
            </w:pPr>
          </w:p>
        </w:tc>
      </w:tr>
      <w:tr w14:paraId="0CD65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D6ABCB">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264B8F">
            <w:pPr>
              <w:jc w:val="center"/>
              <w:rPr>
                <w:rFonts w:hint="eastAsia" w:ascii="宋体" w:hAnsi="宋体" w:eastAsia="宋体" w:cs="宋体"/>
                <w:i w:val="0"/>
                <w:iCs w:val="0"/>
                <w:color w:val="000000"/>
                <w:sz w:val="20"/>
                <w:szCs w:val="20"/>
                <w:u w:val="none"/>
              </w:rPr>
            </w:pP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59BFDB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防火封堵</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6B41C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检查防火封堵是否完好严密。</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4C6979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59A1E9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修补或更换缺少、失效的防火封堵材料。</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B43ABEC">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068CD46E">
            <w:pPr>
              <w:rPr>
                <w:rFonts w:hint="eastAsia" w:ascii="宋体" w:hAnsi="宋体" w:eastAsia="宋体" w:cs="宋体"/>
                <w:i w:val="0"/>
                <w:iCs w:val="0"/>
                <w:color w:val="000000"/>
                <w:sz w:val="20"/>
                <w:szCs w:val="20"/>
                <w:u w:val="none"/>
              </w:rPr>
            </w:pPr>
          </w:p>
        </w:tc>
      </w:tr>
      <w:tr w14:paraId="6AC06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DA3355">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566DD9">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4FF65B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防火门监控器</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88623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检查防火门监控器外观及柜体内部；</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87475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3F4E2C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用吸尘器，潮湿软布等清除柜体内外灰尘，用压缩空气、毛刷等清除柜体内线路板、接线端子处灰尘，空气潮湿场所可在柜体内放置干燥剂；</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6BC0C52">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309D0588">
            <w:pPr>
              <w:rPr>
                <w:rFonts w:hint="eastAsia" w:ascii="宋体" w:hAnsi="宋体" w:eastAsia="宋体" w:cs="宋体"/>
                <w:i w:val="0"/>
                <w:iCs w:val="0"/>
                <w:color w:val="000000"/>
                <w:sz w:val="20"/>
                <w:szCs w:val="20"/>
                <w:u w:val="none"/>
              </w:rPr>
            </w:pPr>
          </w:p>
        </w:tc>
      </w:tr>
      <w:tr w14:paraId="1992B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3AB032">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DE48A7">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8A23D4">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DD0AB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检查防火门监控器各接线端子；</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458AD6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471148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紧固连接松动的接线端子，更换锈蚀的螺钉、端子垫片等连接部件，去除锈蚀的导线端，搪锡后重新连接；</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83927A9">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3D2C6555">
            <w:pPr>
              <w:rPr>
                <w:rFonts w:hint="eastAsia" w:ascii="宋体" w:hAnsi="宋体" w:eastAsia="宋体" w:cs="宋体"/>
                <w:i w:val="0"/>
                <w:iCs w:val="0"/>
                <w:color w:val="000000"/>
                <w:sz w:val="20"/>
                <w:szCs w:val="20"/>
                <w:u w:val="none"/>
              </w:rPr>
            </w:pPr>
          </w:p>
        </w:tc>
      </w:tr>
      <w:tr w14:paraId="152BB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BFF187">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A15F7E">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87B8BA">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F24D4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用万用表测量监控器总线回路最末端门磁开关、电动闭门器、释放器供电电压；</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551484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17158F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防火门监控器总线回路最末端门磁开关、电动闭门器、释放器供电电压值小于说明书规定值时应更换回路板或调整线路；</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995059F">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4F794A2F">
            <w:pPr>
              <w:rPr>
                <w:rFonts w:hint="eastAsia" w:ascii="宋体" w:hAnsi="宋体" w:eastAsia="宋体" w:cs="宋体"/>
                <w:i w:val="0"/>
                <w:iCs w:val="0"/>
                <w:color w:val="000000"/>
                <w:sz w:val="20"/>
                <w:szCs w:val="20"/>
                <w:u w:val="none"/>
              </w:rPr>
            </w:pPr>
          </w:p>
        </w:tc>
      </w:tr>
      <w:tr w14:paraId="2D6BB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DE5F66">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55617F">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79A9CA">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721B3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检查防火门监控器电池。</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4B2785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5ED8CE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电池应按说明书要求保养。</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5D7280F">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47B58E03">
            <w:pPr>
              <w:rPr>
                <w:rFonts w:hint="eastAsia" w:ascii="宋体" w:hAnsi="宋体" w:eastAsia="宋体" w:cs="宋体"/>
                <w:i w:val="0"/>
                <w:iCs w:val="0"/>
                <w:color w:val="000000"/>
                <w:sz w:val="20"/>
                <w:szCs w:val="20"/>
                <w:u w:val="none"/>
              </w:rPr>
            </w:pPr>
          </w:p>
        </w:tc>
      </w:tr>
      <w:tr w14:paraId="63BAD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0F52B0">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9F363D">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70F042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门磁开关</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BA694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检查门磁开关外观；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26C5F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29DBE5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用专用清洁工具或软布及适当的清洁剂清洁门磁开关部件污染物；</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0725E13">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6061EAF1">
            <w:pPr>
              <w:rPr>
                <w:rFonts w:hint="eastAsia" w:ascii="宋体" w:hAnsi="宋体" w:eastAsia="宋体" w:cs="宋体"/>
                <w:i w:val="0"/>
                <w:iCs w:val="0"/>
                <w:color w:val="000000"/>
                <w:sz w:val="20"/>
                <w:szCs w:val="20"/>
                <w:u w:val="none"/>
              </w:rPr>
            </w:pPr>
          </w:p>
        </w:tc>
      </w:tr>
      <w:tr w14:paraId="7F78C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F5C42F">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0311EC">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FF08AB">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1542D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检查门磁开关各接线端子、部件、元器件</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1DEB4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6548F8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紧固连接松动的接线端子，更换锈蚀的螺钉、端子垫片等部件，去除锈蚀的导线端，搪锡后重新连接，虚焊、漏焊的应补焊。</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CF3AA41">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1B68464A">
            <w:pPr>
              <w:rPr>
                <w:rFonts w:hint="eastAsia" w:ascii="宋体" w:hAnsi="宋体" w:eastAsia="宋体" w:cs="宋体"/>
                <w:i w:val="0"/>
                <w:iCs w:val="0"/>
                <w:color w:val="000000"/>
                <w:sz w:val="20"/>
                <w:szCs w:val="20"/>
                <w:u w:val="none"/>
              </w:rPr>
            </w:pPr>
          </w:p>
        </w:tc>
      </w:tr>
      <w:tr w14:paraId="4D308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BA4FF3">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15B53F">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7AEB1A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电动闭门器、电磁释放器</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481E07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检查电动闭门器、电磁释放器外观；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102E2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5D5266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用专用清洁工具或软布及适当的清洁剂清洁电动闭门器、电磁释放器部件污染物，添加润滑剂；</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9D575CD">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13EB5AB3">
            <w:pPr>
              <w:rPr>
                <w:rFonts w:hint="eastAsia" w:ascii="宋体" w:hAnsi="宋体" w:eastAsia="宋体" w:cs="宋体"/>
                <w:i w:val="0"/>
                <w:iCs w:val="0"/>
                <w:color w:val="000000"/>
                <w:sz w:val="20"/>
                <w:szCs w:val="20"/>
                <w:u w:val="none"/>
              </w:rPr>
            </w:pPr>
          </w:p>
        </w:tc>
      </w:tr>
      <w:tr w14:paraId="6995D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7FE17D">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01C6CB">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C3FAD2">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FD25E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检查电动闭门器、电磁释放器各接线端子、部件、元器件。</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288A2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4752B8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紧固连接松动的接线端子，更换锈蚀的螺钉、端子垫片等部件，去除锈蚀的导线端，搪锡后重新连接，虚焊、漏焊的应补焊。</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F9295AA">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BBC26EE">
            <w:pPr>
              <w:rPr>
                <w:rFonts w:hint="eastAsia" w:ascii="宋体" w:hAnsi="宋体" w:eastAsia="宋体" w:cs="宋体"/>
                <w:i w:val="0"/>
                <w:iCs w:val="0"/>
                <w:color w:val="000000"/>
                <w:sz w:val="20"/>
                <w:szCs w:val="20"/>
                <w:u w:val="none"/>
              </w:rPr>
            </w:pPr>
          </w:p>
        </w:tc>
      </w:tr>
      <w:tr w14:paraId="1EA0A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restart"/>
            <w:tcBorders>
              <w:top w:val="single" w:color="000000" w:sz="4" w:space="0"/>
              <w:left w:val="single" w:color="000000" w:sz="4" w:space="0"/>
              <w:bottom w:val="single" w:color="000000" w:sz="4" w:space="0"/>
              <w:right w:val="single" w:color="000000" w:sz="4" w:space="0"/>
            </w:tcBorders>
            <w:noWrap w:val="0"/>
            <w:vAlign w:val="center"/>
          </w:tcPr>
          <w:p w14:paraId="1B0EE93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w:t>
            </w:r>
          </w:p>
        </w:tc>
        <w:tc>
          <w:tcPr>
            <w:tcW w:w="1341" w:type="dxa"/>
            <w:vMerge w:val="restart"/>
            <w:tcBorders>
              <w:top w:val="single" w:color="000000" w:sz="4" w:space="0"/>
              <w:left w:val="single" w:color="000000" w:sz="4" w:space="0"/>
              <w:bottom w:val="single" w:color="000000" w:sz="4" w:space="0"/>
              <w:right w:val="single" w:color="000000" w:sz="4" w:space="0"/>
            </w:tcBorders>
            <w:noWrap w:val="0"/>
            <w:vAlign w:val="center"/>
          </w:tcPr>
          <w:p w14:paraId="65B4C4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消防电梯</w:t>
            </w: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66D0FD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消防电梯迫降按钮</w:t>
            </w:r>
          </w:p>
        </w:tc>
        <w:tc>
          <w:tcPr>
            <w:tcW w:w="3994" w:type="dxa"/>
            <w:vMerge w:val="restart"/>
            <w:tcBorders>
              <w:top w:val="single" w:color="000000" w:sz="4" w:space="0"/>
              <w:left w:val="single" w:color="000000" w:sz="4" w:space="0"/>
              <w:bottom w:val="single" w:color="000000" w:sz="4" w:space="0"/>
              <w:right w:val="single" w:color="000000" w:sz="4" w:space="0"/>
            </w:tcBorders>
            <w:noWrap w:val="0"/>
            <w:vAlign w:val="center"/>
          </w:tcPr>
          <w:p w14:paraId="5BE47B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检查消防电梯迫降按钮。</w:t>
            </w:r>
          </w:p>
        </w:tc>
        <w:tc>
          <w:tcPr>
            <w:tcW w:w="1078" w:type="dxa"/>
            <w:vMerge w:val="restart"/>
            <w:tcBorders>
              <w:top w:val="single" w:color="000000" w:sz="4" w:space="0"/>
              <w:left w:val="single" w:color="000000" w:sz="4" w:space="0"/>
              <w:bottom w:val="single" w:color="000000" w:sz="4" w:space="0"/>
              <w:right w:val="single" w:color="000000" w:sz="4" w:space="0"/>
            </w:tcBorders>
            <w:noWrap w:val="0"/>
            <w:vAlign w:val="center"/>
          </w:tcPr>
          <w:p w14:paraId="260EBB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3E5F71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修复或更换损坏的按钮保护罩；</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2746BBF">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2AB39C77">
            <w:pPr>
              <w:rPr>
                <w:rFonts w:hint="eastAsia" w:ascii="宋体" w:hAnsi="宋体" w:eastAsia="宋体" w:cs="宋体"/>
                <w:i w:val="0"/>
                <w:iCs w:val="0"/>
                <w:color w:val="000000"/>
                <w:sz w:val="20"/>
                <w:szCs w:val="20"/>
                <w:u w:val="none"/>
              </w:rPr>
            </w:pPr>
          </w:p>
        </w:tc>
      </w:tr>
      <w:tr w14:paraId="7F1A5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AC811E">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3289E7">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42D884">
            <w:pPr>
              <w:jc w:val="center"/>
              <w:rPr>
                <w:rFonts w:hint="eastAsia" w:ascii="宋体" w:hAnsi="宋体" w:eastAsia="宋体" w:cs="宋体"/>
                <w:i w:val="0"/>
                <w:iCs w:val="0"/>
                <w:color w:val="000000"/>
                <w:sz w:val="20"/>
                <w:szCs w:val="20"/>
                <w:u w:val="none"/>
              </w:rPr>
            </w:pPr>
          </w:p>
        </w:tc>
        <w:tc>
          <w:tcPr>
            <w:tcW w:w="39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A82610">
            <w:pPr>
              <w:jc w:val="left"/>
              <w:rPr>
                <w:rFonts w:hint="eastAsia" w:ascii="宋体" w:hAnsi="宋体" w:eastAsia="宋体" w:cs="宋体"/>
                <w:i w:val="0"/>
                <w:iCs w:val="0"/>
                <w:color w:val="000000"/>
                <w:sz w:val="20"/>
                <w:szCs w:val="20"/>
                <w:u w:val="none"/>
              </w:rPr>
            </w:pPr>
          </w:p>
        </w:tc>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047E92">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1BC467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用专用清洁工具或软布及适当的清洁剂清洁保护罩；</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A12CC4B">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7BCE0785">
            <w:pPr>
              <w:rPr>
                <w:rFonts w:hint="eastAsia" w:ascii="宋体" w:hAnsi="宋体" w:eastAsia="宋体" w:cs="宋体"/>
                <w:i w:val="0"/>
                <w:iCs w:val="0"/>
                <w:color w:val="000000"/>
                <w:sz w:val="20"/>
                <w:szCs w:val="20"/>
                <w:u w:val="none"/>
              </w:rPr>
            </w:pPr>
          </w:p>
        </w:tc>
      </w:tr>
      <w:tr w14:paraId="54C51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2E3811">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3F91A2">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BC5AFA">
            <w:pPr>
              <w:jc w:val="center"/>
              <w:rPr>
                <w:rFonts w:hint="eastAsia" w:ascii="宋体" w:hAnsi="宋体" w:eastAsia="宋体" w:cs="宋体"/>
                <w:i w:val="0"/>
                <w:iCs w:val="0"/>
                <w:color w:val="000000"/>
                <w:sz w:val="20"/>
                <w:szCs w:val="20"/>
                <w:u w:val="none"/>
              </w:rPr>
            </w:pPr>
          </w:p>
        </w:tc>
        <w:tc>
          <w:tcPr>
            <w:tcW w:w="39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9A64A3">
            <w:pPr>
              <w:jc w:val="left"/>
              <w:rPr>
                <w:rFonts w:hint="eastAsia" w:ascii="宋体" w:hAnsi="宋体" w:eastAsia="宋体" w:cs="宋体"/>
                <w:i w:val="0"/>
                <w:iCs w:val="0"/>
                <w:color w:val="000000"/>
                <w:sz w:val="20"/>
                <w:szCs w:val="20"/>
                <w:u w:val="none"/>
              </w:rPr>
            </w:pPr>
          </w:p>
        </w:tc>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C0D930">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00DCC5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每年用压缩空气、毛刷等清除保护罩内部尘土。</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7D79150">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7B77ADD5">
            <w:pPr>
              <w:rPr>
                <w:rFonts w:hint="eastAsia" w:ascii="宋体" w:hAnsi="宋体" w:eastAsia="宋体" w:cs="宋体"/>
                <w:i w:val="0"/>
                <w:iCs w:val="0"/>
                <w:color w:val="000000"/>
                <w:sz w:val="20"/>
                <w:szCs w:val="20"/>
                <w:u w:val="none"/>
              </w:rPr>
            </w:pPr>
          </w:p>
        </w:tc>
      </w:tr>
      <w:tr w14:paraId="5BFEF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5ED2A2">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E3F02E">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4BDCC6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专用消防对讲电话</w:t>
            </w:r>
          </w:p>
        </w:tc>
        <w:tc>
          <w:tcPr>
            <w:tcW w:w="3994" w:type="dxa"/>
            <w:vMerge w:val="restart"/>
            <w:tcBorders>
              <w:top w:val="single" w:color="000000" w:sz="4" w:space="0"/>
              <w:left w:val="single" w:color="000000" w:sz="4" w:space="0"/>
              <w:bottom w:val="single" w:color="000000" w:sz="4" w:space="0"/>
              <w:right w:val="single" w:color="000000" w:sz="4" w:space="0"/>
            </w:tcBorders>
            <w:noWrap w:val="0"/>
            <w:vAlign w:val="center"/>
          </w:tcPr>
          <w:p w14:paraId="1E4633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检查专用消防对讲电话。</w:t>
            </w:r>
          </w:p>
        </w:tc>
        <w:tc>
          <w:tcPr>
            <w:tcW w:w="1078" w:type="dxa"/>
            <w:vMerge w:val="restart"/>
            <w:tcBorders>
              <w:top w:val="single" w:color="000000" w:sz="4" w:space="0"/>
              <w:left w:val="single" w:color="000000" w:sz="4" w:space="0"/>
              <w:bottom w:val="single" w:color="000000" w:sz="4" w:space="0"/>
              <w:right w:val="single" w:color="000000" w:sz="4" w:space="0"/>
            </w:tcBorders>
            <w:noWrap w:val="0"/>
            <w:vAlign w:val="center"/>
          </w:tcPr>
          <w:p w14:paraId="4E5DEE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6474D7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修复或更换损坏的电话；</w:t>
            </w:r>
          </w:p>
        </w:tc>
        <w:tc>
          <w:tcPr>
            <w:tcW w:w="1050" w:type="dxa"/>
            <w:tcBorders>
              <w:top w:val="nil"/>
              <w:left w:val="nil"/>
              <w:bottom w:val="nil"/>
              <w:right w:val="nil"/>
            </w:tcBorders>
            <w:noWrap/>
            <w:vAlign w:val="center"/>
          </w:tcPr>
          <w:p w14:paraId="6411E615">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3D1958BF">
            <w:pPr>
              <w:rPr>
                <w:rFonts w:hint="eastAsia" w:ascii="宋体" w:hAnsi="宋体" w:eastAsia="宋体" w:cs="宋体"/>
                <w:i w:val="0"/>
                <w:iCs w:val="0"/>
                <w:color w:val="000000"/>
                <w:sz w:val="20"/>
                <w:szCs w:val="20"/>
                <w:u w:val="none"/>
              </w:rPr>
            </w:pPr>
          </w:p>
        </w:tc>
      </w:tr>
      <w:tr w14:paraId="3BDF6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68B837">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1FD010">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66555D">
            <w:pPr>
              <w:jc w:val="center"/>
              <w:rPr>
                <w:rFonts w:hint="eastAsia" w:ascii="宋体" w:hAnsi="宋体" w:eastAsia="宋体" w:cs="宋体"/>
                <w:i w:val="0"/>
                <w:iCs w:val="0"/>
                <w:color w:val="000000"/>
                <w:sz w:val="20"/>
                <w:szCs w:val="20"/>
                <w:u w:val="none"/>
              </w:rPr>
            </w:pPr>
          </w:p>
        </w:tc>
        <w:tc>
          <w:tcPr>
            <w:tcW w:w="39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3D2EF6">
            <w:pPr>
              <w:jc w:val="left"/>
              <w:rPr>
                <w:rFonts w:hint="eastAsia" w:ascii="宋体" w:hAnsi="宋体" w:eastAsia="宋体" w:cs="宋体"/>
                <w:i w:val="0"/>
                <w:iCs w:val="0"/>
                <w:color w:val="000000"/>
                <w:sz w:val="20"/>
                <w:szCs w:val="20"/>
                <w:u w:val="none"/>
              </w:rPr>
            </w:pPr>
          </w:p>
        </w:tc>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81D627">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457034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用专用清洁工具或软布及适当的清洁剂清洁电话表面。</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408DB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3D0718D">
            <w:pPr>
              <w:rPr>
                <w:rFonts w:hint="eastAsia" w:ascii="宋体" w:hAnsi="宋体" w:eastAsia="宋体" w:cs="宋体"/>
                <w:i w:val="0"/>
                <w:iCs w:val="0"/>
                <w:color w:val="000000"/>
                <w:sz w:val="20"/>
                <w:szCs w:val="20"/>
                <w:u w:val="none"/>
              </w:rPr>
            </w:pPr>
          </w:p>
        </w:tc>
      </w:tr>
      <w:tr w14:paraId="744E7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ABB93C">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663582">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280C53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井底排水装置</w:t>
            </w:r>
          </w:p>
        </w:tc>
        <w:tc>
          <w:tcPr>
            <w:tcW w:w="3994" w:type="dxa"/>
            <w:vMerge w:val="restart"/>
            <w:tcBorders>
              <w:top w:val="single" w:color="000000" w:sz="4" w:space="0"/>
              <w:left w:val="single" w:color="000000" w:sz="4" w:space="0"/>
              <w:bottom w:val="single" w:color="000000" w:sz="4" w:space="0"/>
              <w:right w:val="single" w:color="000000" w:sz="4" w:space="0"/>
            </w:tcBorders>
            <w:noWrap w:val="0"/>
            <w:vAlign w:val="center"/>
          </w:tcPr>
          <w:p w14:paraId="1E73DF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检查排水井、消防电梯前室挡水设施、排水泵。</w:t>
            </w:r>
          </w:p>
        </w:tc>
        <w:tc>
          <w:tcPr>
            <w:tcW w:w="1078" w:type="dxa"/>
            <w:vMerge w:val="restart"/>
            <w:tcBorders>
              <w:top w:val="single" w:color="000000" w:sz="4" w:space="0"/>
              <w:left w:val="single" w:color="000000" w:sz="4" w:space="0"/>
              <w:bottom w:val="single" w:color="000000" w:sz="4" w:space="0"/>
              <w:right w:val="single" w:color="000000" w:sz="4" w:space="0"/>
            </w:tcBorders>
            <w:noWrap w:val="0"/>
            <w:vAlign w:val="center"/>
          </w:tcPr>
          <w:p w14:paraId="6EA46E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7821CF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清除排水井内杂物，保证排水井容量；</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4FC8341">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F8987A2">
            <w:pPr>
              <w:rPr>
                <w:rFonts w:hint="eastAsia" w:ascii="宋体" w:hAnsi="宋体" w:eastAsia="宋体" w:cs="宋体"/>
                <w:i w:val="0"/>
                <w:iCs w:val="0"/>
                <w:color w:val="000000"/>
                <w:sz w:val="20"/>
                <w:szCs w:val="20"/>
                <w:u w:val="none"/>
              </w:rPr>
            </w:pPr>
          </w:p>
        </w:tc>
      </w:tr>
      <w:tr w14:paraId="5E7CF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183C98">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445933">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23C541">
            <w:pPr>
              <w:jc w:val="center"/>
              <w:rPr>
                <w:rFonts w:hint="eastAsia" w:ascii="宋体" w:hAnsi="宋体" w:eastAsia="宋体" w:cs="宋体"/>
                <w:i w:val="0"/>
                <w:iCs w:val="0"/>
                <w:color w:val="000000"/>
                <w:sz w:val="20"/>
                <w:szCs w:val="20"/>
                <w:u w:val="none"/>
              </w:rPr>
            </w:pPr>
          </w:p>
        </w:tc>
        <w:tc>
          <w:tcPr>
            <w:tcW w:w="39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B8698E">
            <w:pPr>
              <w:jc w:val="left"/>
              <w:rPr>
                <w:rFonts w:hint="eastAsia" w:ascii="宋体" w:hAnsi="宋体" w:eastAsia="宋体" w:cs="宋体"/>
                <w:i w:val="0"/>
                <w:iCs w:val="0"/>
                <w:color w:val="000000"/>
                <w:sz w:val="20"/>
                <w:szCs w:val="20"/>
                <w:u w:val="none"/>
              </w:rPr>
            </w:pPr>
          </w:p>
        </w:tc>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4ED2C4">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22DDBB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修复损坏的挡水设施；</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17011C9">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36D10FEF">
            <w:pPr>
              <w:rPr>
                <w:rFonts w:hint="eastAsia" w:ascii="宋体" w:hAnsi="宋体" w:eastAsia="宋体" w:cs="宋体"/>
                <w:i w:val="0"/>
                <w:iCs w:val="0"/>
                <w:color w:val="000000"/>
                <w:sz w:val="20"/>
                <w:szCs w:val="20"/>
                <w:u w:val="none"/>
              </w:rPr>
            </w:pPr>
          </w:p>
        </w:tc>
      </w:tr>
      <w:tr w14:paraId="2B67C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65B4CA">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2F331B">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A4A8C9">
            <w:pPr>
              <w:jc w:val="center"/>
              <w:rPr>
                <w:rFonts w:hint="eastAsia" w:ascii="宋体" w:hAnsi="宋体" w:eastAsia="宋体" w:cs="宋体"/>
                <w:i w:val="0"/>
                <w:iCs w:val="0"/>
                <w:color w:val="000000"/>
                <w:sz w:val="20"/>
                <w:szCs w:val="20"/>
                <w:u w:val="none"/>
              </w:rPr>
            </w:pPr>
          </w:p>
        </w:tc>
        <w:tc>
          <w:tcPr>
            <w:tcW w:w="39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57E40C">
            <w:pPr>
              <w:jc w:val="left"/>
              <w:rPr>
                <w:rFonts w:hint="eastAsia" w:ascii="宋体" w:hAnsi="宋体" w:eastAsia="宋体" w:cs="宋体"/>
                <w:i w:val="0"/>
                <w:iCs w:val="0"/>
                <w:color w:val="000000"/>
                <w:sz w:val="20"/>
                <w:szCs w:val="20"/>
                <w:u w:val="none"/>
              </w:rPr>
            </w:pPr>
          </w:p>
        </w:tc>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CAC2BD">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48B70B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修复或更换有故障的排水泵；</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87B50AC">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0B62D3D9">
            <w:pPr>
              <w:rPr>
                <w:rFonts w:hint="eastAsia" w:ascii="宋体" w:hAnsi="宋体" w:eastAsia="宋体" w:cs="宋体"/>
                <w:i w:val="0"/>
                <w:iCs w:val="0"/>
                <w:color w:val="000000"/>
                <w:sz w:val="20"/>
                <w:szCs w:val="20"/>
                <w:u w:val="none"/>
              </w:rPr>
            </w:pPr>
          </w:p>
        </w:tc>
      </w:tr>
      <w:tr w14:paraId="7D0C1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271B54">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439E58">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6D79F6">
            <w:pPr>
              <w:jc w:val="center"/>
              <w:rPr>
                <w:rFonts w:hint="eastAsia" w:ascii="宋体" w:hAnsi="宋体" w:eastAsia="宋体" w:cs="宋体"/>
                <w:i w:val="0"/>
                <w:iCs w:val="0"/>
                <w:color w:val="000000"/>
                <w:sz w:val="20"/>
                <w:szCs w:val="20"/>
                <w:u w:val="none"/>
              </w:rPr>
            </w:pPr>
          </w:p>
        </w:tc>
        <w:tc>
          <w:tcPr>
            <w:tcW w:w="39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7616FA">
            <w:pPr>
              <w:jc w:val="left"/>
              <w:rPr>
                <w:rFonts w:hint="eastAsia" w:ascii="宋体" w:hAnsi="宋体" w:eastAsia="宋体" w:cs="宋体"/>
                <w:i w:val="0"/>
                <w:iCs w:val="0"/>
                <w:color w:val="000000"/>
                <w:sz w:val="20"/>
                <w:szCs w:val="20"/>
                <w:u w:val="none"/>
              </w:rPr>
            </w:pPr>
          </w:p>
        </w:tc>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11B5BA">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468D63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按照产品使用说明保养排水泵。</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FBBA02E">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7CC396BC">
            <w:pPr>
              <w:rPr>
                <w:rFonts w:hint="eastAsia" w:ascii="宋体" w:hAnsi="宋体" w:eastAsia="宋体" w:cs="宋体"/>
                <w:i w:val="0"/>
                <w:iCs w:val="0"/>
                <w:color w:val="000000"/>
                <w:sz w:val="20"/>
                <w:szCs w:val="20"/>
                <w:u w:val="none"/>
              </w:rPr>
            </w:pPr>
          </w:p>
        </w:tc>
      </w:tr>
      <w:tr w14:paraId="30F80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44DBC1">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1DAB7E">
            <w:pPr>
              <w:jc w:val="center"/>
              <w:rPr>
                <w:rFonts w:hint="eastAsia" w:ascii="宋体" w:hAnsi="宋体" w:eastAsia="宋体" w:cs="宋体"/>
                <w:i w:val="0"/>
                <w:iCs w:val="0"/>
                <w:color w:val="000000"/>
                <w:sz w:val="20"/>
                <w:szCs w:val="20"/>
                <w:u w:val="none"/>
              </w:rPr>
            </w:pP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36D91B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消防电梯</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4333F6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E961BF2">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681D86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消防电梯应由具有相应资质的电梯服务机构按照相关技术文件和作业指导书的要求定期保养。</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55A36DD">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B5B2C4F">
            <w:pPr>
              <w:rPr>
                <w:rFonts w:hint="eastAsia" w:ascii="宋体" w:hAnsi="宋体" w:eastAsia="宋体" w:cs="宋体"/>
                <w:i w:val="0"/>
                <w:iCs w:val="0"/>
                <w:color w:val="000000"/>
                <w:sz w:val="20"/>
                <w:szCs w:val="20"/>
                <w:u w:val="none"/>
              </w:rPr>
            </w:pPr>
          </w:p>
        </w:tc>
      </w:tr>
      <w:tr w14:paraId="6EA26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restart"/>
            <w:tcBorders>
              <w:top w:val="single" w:color="000000" w:sz="4" w:space="0"/>
              <w:left w:val="single" w:color="000000" w:sz="4" w:space="0"/>
              <w:bottom w:val="single" w:color="000000" w:sz="4" w:space="0"/>
              <w:right w:val="single" w:color="000000" w:sz="4" w:space="0"/>
            </w:tcBorders>
            <w:noWrap w:val="0"/>
            <w:vAlign w:val="center"/>
          </w:tcPr>
          <w:p w14:paraId="052A4D3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w:t>
            </w:r>
          </w:p>
        </w:tc>
        <w:tc>
          <w:tcPr>
            <w:tcW w:w="1341" w:type="dxa"/>
            <w:vMerge w:val="restart"/>
            <w:tcBorders>
              <w:top w:val="single" w:color="000000" w:sz="4" w:space="0"/>
              <w:left w:val="single" w:color="000000" w:sz="4" w:space="0"/>
              <w:bottom w:val="single" w:color="000000" w:sz="4" w:space="0"/>
              <w:right w:val="single" w:color="000000" w:sz="4" w:space="0"/>
            </w:tcBorders>
            <w:noWrap w:val="0"/>
            <w:vAlign w:val="center"/>
          </w:tcPr>
          <w:p w14:paraId="325030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可燃气体探测报警系统</w:t>
            </w: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2EBE21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可燃气体探测报警控制器</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33BA4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检查控制器指示灯、显示屏、音响器件，应完好有效；</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54763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5789E3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采用清洁工具清洁控制器接线端子及柜（箱）内灰尘；</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49B3B64">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40889E5E">
            <w:pPr>
              <w:rPr>
                <w:rFonts w:hint="eastAsia" w:ascii="宋体" w:hAnsi="宋体" w:eastAsia="宋体" w:cs="宋体"/>
                <w:i w:val="0"/>
                <w:iCs w:val="0"/>
                <w:color w:val="000000"/>
                <w:sz w:val="20"/>
                <w:szCs w:val="20"/>
                <w:u w:val="none"/>
              </w:rPr>
            </w:pPr>
          </w:p>
        </w:tc>
      </w:tr>
      <w:tr w14:paraId="24D36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B028BB">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2DCCC5">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3DC208">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7A6A9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检查控制器外部线路应无缺损，接线端子应无松脱，线标端子标识应清晰，外部接口接触良好；</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5D5D9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320D64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对于安装在空气潮湿场所内的控制器类设备，可在柜（箱）内放置干燥剂；</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4ADC4BD">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1083DA2C">
            <w:pPr>
              <w:rPr>
                <w:rFonts w:hint="eastAsia" w:ascii="宋体" w:hAnsi="宋体" w:eastAsia="宋体" w:cs="宋体"/>
                <w:i w:val="0"/>
                <w:iCs w:val="0"/>
                <w:color w:val="000000"/>
                <w:sz w:val="20"/>
                <w:szCs w:val="20"/>
                <w:u w:val="none"/>
              </w:rPr>
            </w:pPr>
          </w:p>
        </w:tc>
      </w:tr>
      <w:tr w14:paraId="36EA3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1C05A6">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C1EC2D">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13A404">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BA8F7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检查控制器各项功能是否正常；</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AF042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756269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控制器输出电压值小于说明书规定值时，应更换回路板或调整线路；</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75E21BB">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0D03DA1B">
            <w:pPr>
              <w:rPr>
                <w:rFonts w:hint="eastAsia" w:ascii="宋体" w:hAnsi="宋体" w:eastAsia="宋体" w:cs="宋体"/>
                <w:i w:val="0"/>
                <w:iCs w:val="0"/>
                <w:color w:val="000000"/>
                <w:sz w:val="20"/>
                <w:szCs w:val="20"/>
                <w:u w:val="none"/>
              </w:rPr>
            </w:pPr>
          </w:p>
        </w:tc>
      </w:tr>
      <w:tr w14:paraId="73A70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56173F">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6BBFF6">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D22457">
            <w:pPr>
              <w:jc w:val="center"/>
              <w:rPr>
                <w:rFonts w:hint="eastAsia" w:ascii="宋体" w:hAnsi="宋体" w:eastAsia="宋体" w:cs="宋体"/>
                <w:i w:val="0"/>
                <w:iCs w:val="0"/>
                <w:color w:val="000000"/>
                <w:sz w:val="20"/>
                <w:szCs w:val="20"/>
                <w:u w:val="none"/>
              </w:rPr>
            </w:pPr>
          </w:p>
        </w:tc>
        <w:tc>
          <w:tcPr>
            <w:tcW w:w="3994" w:type="dxa"/>
            <w:vMerge w:val="restart"/>
            <w:tcBorders>
              <w:top w:val="single" w:color="000000" w:sz="4" w:space="0"/>
              <w:left w:val="single" w:color="000000" w:sz="4" w:space="0"/>
              <w:bottom w:val="single" w:color="000000" w:sz="4" w:space="0"/>
              <w:right w:val="single" w:color="000000" w:sz="4" w:space="0"/>
            </w:tcBorders>
            <w:noWrap w:val="0"/>
            <w:vAlign w:val="center"/>
          </w:tcPr>
          <w:p w14:paraId="36276F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用万用表测量控制器的各项输出电压，应满足产品使用说明书的要求。</w:t>
            </w:r>
          </w:p>
        </w:tc>
        <w:tc>
          <w:tcPr>
            <w:tcW w:w="1078" w:type="dxa"/>
            <w:vMerge w:val="restart"/>
            <w:tcBorders>
              <w:top w:val="single" w:color="000000" w:sz="4" w:space="0"/>
              <w:left w:val="single" w:color="000000" w:sz="4" w:space="0"/>
              <w:bottom w:val="single" w:color="000000" w:sz="4" w:space="0"/>
              <w:right w:val="single" w:color="000000" w:sz="4" w:space="0"/>
            </w:tcBorders>
            <w:noWrap w:val="0"/>
            <w:vAlign w:val="center"/>
          </w:tcPr>
          <w:p w14:paraId="0DE270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0377A1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紧固控制器外部接线端子；</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1000A03">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2D4FA8BC">
            <w:pPr>
              <w:rPr>
                <w:rFonts w:hint="eastAsia" w:ascii="宋体" w:hAnsi="宋体" w:eastAsia="宋体" w:cs="宋体"/>
                <w:i w:val="0"/>
                <w:iCs w:val="0"/>
                <w:color w:val="000000"/>
                <w:sz w:val="20"/>
                <w:szCs w:val="20"/>
                <w:u w:val="none"/>
              </w:rPr>
            </w:pPr>
          </w:p>
        </w:tc>
      </w:tr>
      <w:tr w14:paraId="17D59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06FA7C">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5FAAC9">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B274F5">
            <w:pPr>
              <w:jc w:val="center"/>
              <w:rPr>
                <w:rFonts w:hint="eastAsia" w:ascii="宋体" w:hAnsi="宋体" w:eastAsia="宋体" w:cs="宋体"/>
                <w:i w:val="0"/>
                <w:iCs w:val="0"/>
                <w:color w:val="000000"/>
                <w:sz w:val="20"/>
                <w:szCs w:val="20"/>
                <w:u w:val="none"/>
              </w:rPr>
            </w:pPr>
          </w:p>
        </w:tc>
        <w:tc>
          <w:tcPr>
            <w:tcW w:w="39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B429D3">
            <w:pPr>
              <w:jc w:val="left"/>
              <w:rPr>
                <w:rFonts w:hint="eastAsia" w:ascii="宋体" w:hAnsi="宋体" w:eastAsia="宋体" w:cs="宋体"/>
                <w:i w:val="0"/>
                <w:iCs w:val="0"/>
                <w:color w:val="000000"/>
                <w:sz w:val="20"/>
                <w:szCs w:val="20"/>
                <w:u w:val="none"/>
              </w:rPr>
            </w:pPr>
          </w:p>
        </w:tc>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B12C52">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64B4A3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电池应按照产品说明书要求保养。</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20B8638">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7C3B4E72">
            <w:pPr>
              <w:rPr>
                <w:rFonts w:hint="eastAsia" w:ascii="宋体" w:hAnsi="宋体" w:eastAsia="宋体" w:cs="宋体"/>
                <w:i w:val="0"/>
                <w:iCs w:val="0"/>
                <w:color w:val="000000"/>
                <w:sz w:val="20"/>
                <w:szCs w:val="20"/>
                <w:u w:val="none"/>
              </w:rPr>
            </w:pPr>
          </w:p>
        </w:tc>
      </w:tr>
      <w:tr w14:paraId="21B50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59BF1A">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48B1DC">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521082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可燃气体探测器、不完全燃烧探测器、复合探测器</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A0F2B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检查探测器工作状态是否正常；</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59866A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7EDF26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重新紧固连接松动的端子，更换有锈蚀痕迹的螺丝、端子垫片等接线部件，去除有锈蚀的导线端，搪锡后重新连接；</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7CE8DEE">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1504E84B">
            <w:pPr>
              <w:rPr>
                <w:rFonts w:hint="eastAsia" w:ascii="宋体" w:hAnsi="宋体" w:eastAsia="宋体" w:cs="宋体"/>
                <w:i w:val="0"/>
                <w:iCs w:val="0"/>
                <w:color w:val="000000"/>
                <w:sz w:val="20"/>
                <w:szCs w:val="20"/>
                <w:u w:val="none"/>
              </w:rPr>
            </w:pPr>
          </w:p>
        </w:tc>
      </w:tr>
      <w:tr w14:paraId="34801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8B3A7C">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0E119B">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79B8EB">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285CC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居住建筑内的可燃气体探测器每三年应按照CJJT 146的有关规定检测并记录检测结果，不合格的应更换；</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56B8D79">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54D05A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报警功能不符合要求时，应调整报警阈值或按照产品说明书要求更换气敏元件，然后将传感器报警阈值标定到探测器出厂设定值；</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37D585E">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234E13E8">
            <w:pPr>
              <w:rPr>
                <w:rFonts w:hint="eastAsia" w:ascii="宋体" w:hAnsi="宋体" w:eastAsia="宋体" w:cs="宋体"/>
                <w:i w:val="0"/>
                <w:iCs w:val="0"/>
                <w:color w:val="000000"/>
                <w:sz w:val="20"/>
                <w:szCs w:val="20"/>
                <w:u w:val="none"/>
              </w:rPr>
            </w:pPr>
          </w:p>
        </w:tc>
      </w:tr>
      <w:tr w14:paraId="39DA8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01CBD9">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34D39B">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AC628B">
            <w:pPr>
              <w:jc w:val="center"/>
              <w:rPr>
                <w:rFonts w:hint="eastAsia" w:ascii="宋体" w:hAnsi="宋体" w:eastAsia="宋体" w:cs="宋体"/>
                <w:i w:val="0"/>
                <w:iCs w:val="0"/>
                <w:color w:val="000000"/>
                <w:sz w:val="20"/>
                <w:szCs w:val="20"/>
                <w:u w:val="none"/>
              </w:rPr>
            </w:pPr>
          </w:p>
        </w:tc>
        <w:tc>
          <w:tcPr>
            <w:tcW w:w="3994" w:type="dxa"/>
            <w:vMerge w:val="restart"/>
            <w:tcBorders>
              <w:top w:val="single" w:color="000000" w:sz="4" w:space="0"/>
              <w:left w:val="single" w:color="000000" w:sz="4" w:space="0"/>
              <w:bottom w:val="single" w:color="000000" w:sz="4" w:space="0"/>
              <w:right w:val="single" w:color="000000" w:sz="4" w:space="0"/>
            </w:tcBorders>
            <w:noWrap w:val="0"/>
            <w:vAlign w:val="center"/>
          </w:tcPr>
          <w:p w14:paraId="52A037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商业和工业场所内的可燃气体探测器每年应按照CJJT 146的有关规定检测并记录检测结果，不合格的应更换。</w:t>
            </w:r>
          </w:p>
        </w:tc>
        <w:tc>
          <w:tcPr>
            <w:tcW w:w="1078" w:type="dxa"/>
            <w:vMerge w:val="restart"/>
            <w:tcBorders>
              <w:top w:val="single" w:color="000000" w:sz="4" w:space="0"/>
              <w:left w:val="single" w:color="000000" w:sz="4" w:space="0"/>
              <w:bottom w:val="single" w:color="000000" w:sz="4" w:space="0"/>
              <w:right w:val="single" w:color="000000" w:sz="4" w:space="0"/>
            </w:tcBorders>
            <w:noWrap w:val="0"/>
            <w:vAlign w:val="center"/>
          </w:tcPr>
          <w:p w14:paraId="4A9F1492">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3A433E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可燃气体探测器运行一年应重新检定，合格后方可使用，受检设备每次检查之后应粘贴标识并注明检查日期；</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034C8C5">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6C49F34F">
            <w:pPr>
              <w:rPr>
                <w:rFonts w:hint="eastAsia" w:ascii="宋体" w:hAnsi="宋体" w:eastAsia="宋体" w:cs="宋体"/>
                <w:i w:val="0"/>
                <w:iCs w:val="0"/>
                <w:color w:val="000000"/>
                <w:sz w:val="20"/>
                <w:szCs w:val="20"/>
                <w:u w:val="none"/>
              </w:rPr>
            </w:pPr>
          </w:p>
        </w:tc>
      </w:tr>
      <w:tr w14:paraId="22C8B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0BA629">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69E96B">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ABE212">
            <w:pPr>
              <w:jc w:val="center"/>
              <w:rPr>
                <w:rFonts w:hint="eastAsia" w:ascii="宋体" w:hAnsi="宋体" w:eastAsia="宋体" w:cs="宋体"/>
                <w:i w:val="0"/>
                <w:iCs w:val="0"/>
                <w:color w:val="000000"/>
                <w:sz w:val="20"/>
                <w:szCs w:val="20"/>
                <w:u w:val="none"/>
              </w:rPr>
            </w:pPr>
          </w:p>
        </w:tc>
        <w:tc>
          <w:tcPr>
            <w:tcW w:w="39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FDFA03">
            <w:pPr>
              <w:jc w:val="left"/>
              <w:rPr>
                <w:rFonts w:hint="eastAsia" w:ascii="宋体" w:hAnsi="宋体" w:eastAsia="宋体" w:cs="宋体"/>
                <w:i w:val="0"/>
                <w:iCs w:val="0"/>
                <w:color w:val="000000"/>
                <w:sz w:val="20"/>
                <w:szCs w:val="20"/>
                <w:u w:val="none"/>
              </w:rPr>
            </w:pPr>
          </w:p>
        </w:tc>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C881FF">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43BE1B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可燃气体探测器应避免在装修过程中及含硅环境中使用，避免引起探测器中毒，损坏敏感元件。</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B99ED05">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40A65873">
            <w:pPr>
              <w:rPr>
                <w:rFonts w:hint="eastAsia" w:ascii="宋体" w:hAnsi="宋体" w:eastAsia="宋体" w:cs="宋体"/>
                <w:i w:val="0"/>
                <w:iCs w:val="0"/>
                <w:color w:val="000000"/>
                <w:sz w:val="20"/>
                <w:szCs w:val="20"/>
                <w:u w:val="none"/>
              </w:rPr>
            </w:pPr>
          </w:p>
        </w:tc>
      </w:tr>
      <w:tr w14:paraId="5908A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E96EBF">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E0685D">
            <w:pPr>
              <w:jc w:val="center"/>
              <w:rPr>
                <w:rFonts w:hint="eastAsia" w:ascii="宋体" w:hAnsi="宋体" w:eastAsia="宋体" w:cs="宋体"/>
                <w:i w:val="0"/>
                <w:iCs w:val="0"/>
                <w:color w:val="000000"/>
                <w:sz w:val="20"/>
                <w:szCs w:val="20"/>
                <w:u w:val="none"/>
              </w:rPr>
            </w:pP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49E972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模块</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479821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检查模块类设备工作状态是否正常。</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1FE72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6B4B4E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重新紧固连接松动的端子，更换有锈蚀痕迹的螺丝、端子垫片等接线部件，去除有锈蚀的导线端，搪锡后重新连接。</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9E7A405">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0F5864E0">
            <w:pPr>
              <w:rPr>
                <w:rFonts w:hint="eastAsia" w:ascii="宋体" w:hAnsi="宋体" w:eastAsia="宋体" w:cs="宋体"/>
                <w:i w:val="0"/>
                <w:iCs w:val="0"/>
                <w:color w:val="000000"/>
                <w:sz w:val="20"/>
                <w:szCs w:val="20"/>
                <w:u w:val="none"/>
              </w:rPr>
            </w:pPr>
          </w:p>
        </w:tc>
      </w:tr>
      <w:tr w14:paraId="24D4F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65E404">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F64AEE">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6E13D7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电池</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AD541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可燃气体探测报警系统中使用的备用蓄电池应采用免维护铅酸电池；</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59C8DC2">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733713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重新紧固连接松动的端子，更换有锈蚀痕迹的螺丝、端子垫片等接线部件，去除有锈蚀的导线端，搪锡后重新连接；</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09F1A19">
            <w:pPr>
              <w:jc w:val="center"/>
              <w:rPr>
                <w:rFonts w:hint="eastAsia" w:ascii="宋体" w:hAnsi="宋体" w:eastAsia="宋体" w:cs="宋体"/>
                <w:i w:val="0"/>
                <w:iCs w:val="0"/>
                <w:color w:val="000000"/>
                <w:sz w:val="20"/>
                <w:szCs w:val="20"/>
                <w:u w:val="none"/>
              </w:rPr>
            </w:pP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D1AB746">
            <w:pPr>
              <w:rPr>
                <w:rFonts w:hint="eastAsia" w:ascii="宋体" w:hAnsi="宋体" w:eastAsia="宋体" w:cs="宋体"/>
                <w:i w:val="0"/>
                <w:iCs w:val="0"/>
                <w:color w:val="000000"/>
                <w:sz w:val="20"/>
                <w:szCs w:val="20"/>
                <w:u w:val="none"/>
              </w:rPr>
            </w:pPr>
          </w:p>
        </w:tc>
      </w:tr>
      <w:tr w14:paraId="2889D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E60918">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642148">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E907C6">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8BB75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检查电池极柱和接线端子连接应牢固；</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45472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119BE2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更换电量状态不正常的蓄电池；</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59DE4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1FCC2AAC">
            <w:pPr>
              <w:rPr>
                <w:rFonts w:hint="eastAsia" w:ascii="宋体" w:hAnsi="宋体" w:eastAsia="宋体" w:cs="宋体"/>
                <w:i w:val="0"/>
                <w:iCs w:val="0"/>
                <w:color w:val="000000"/>
                <w:sz w:val="20"/>
                <w:szCs w:val="20"/>
                <w:u w:val="none"/>
              </w:rPr>
            </w:pPr>
          </w:p>
        </w:tc>
      </w:tr>
      <w:tr w14:paraId="21F92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312630">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4091BB">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DAE52B">
            <w:pPr>
              <w:jc w:val="center"/>
              <w:rPr>
                <w:rFonts w:hint="eastAsia" w:ascii="宋体" w:hAnsi="宋体" w:eastAsia="宋体" w:cs="宋体"/>
                <w:i w:val="0"/>
                <w:iCs w:val="0"/>
                <w:color w:val="000000"/>
                <w:sz w:val="20"/>
                <w:szCs w:val="20"/>
                <w:u w:val="none"/>
              </w:rPr>
            </w:pPr>
          </w:p>
        </w:tc>
        <w:tc>
          <w:tcPr>
            <w:tcW w:w="3994" w:type="dxa"/>
            <w:vMerge w:val="restart"/>
            <w:tcBorders>
              <w:top w:val="single" w:color="000000" w:sz="4" w:space="0"/>
              <w:left w:val="single" w:color="000000" w:sz="4" w:space="0"/>
              <w:bottom w:val="single" w:color="000000" w:sz="4" w:space="0"/>
              <w:right w:val="single" w:color="000000" w:sz="4" w:space="0"/>
            </w:tcBorders>
            <w:noWrap w:val="0"/>
            <w:vAlign w:val="center"/>
          </w:tcPr>
          <w:p w14:paraId="15F207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对消防电源进行主备电切换测试，记录备电在标准负载下的持续工作时间，检查备用蓄电池电量状态是否正常。</w:t>
            </w:r>
          </w:p>
        </w:tc>
        <w:tc>
          <w:tcPr>
            <w:tcW w:w="1078" w:type="dxa"/>
            <w:vMerge w:val="restart"/>
            <w:tcBorders>
              <w:top w:val="single" w:color="000000" w:sz="4" w:space="0"/>
              <w:left w:val="single" w:color="000000" w:sz="4" w:space="0"/>
              <w:bottom w:val="single" w:color="000000" w:sz="4" w:space="0"/>
              <w:right w:val="single" w:color="000000" w:sz="4" w:space="0"/>
            </w:tcBorders>
            <w:noWrap w:val="0"/>
            <w:vAlign w:val="center"/>
          </w:tcPr>
          <w:p w14:paraId="5E5FAF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05A436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清除电池极柱周围可能出现的黄白色糊状物；</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280D3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46B6D5E">
            <w:pPr>
              <w:rPr>
                <w:rFonts w:hint="eastAsia" w:ascii="宋体" w:hAnsi="宋体" w:eastAsia="宋体" w:cs="宋体"/>
                <w:i w:val="0"/>
                <w:iCs w:val="0"/>
                <w:color w:val="000000"/>
                <w:sz w:val="20"/>
                <w:szCs w:val="20"/>
                <w:u w:val="none"/>
              </w:rPr>
            </w:pPr>
          </w:p>
        </w:tc>
      </w:tr>
      <w:tr w14:paraId="6048C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021D56">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DA1BFB">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E20DE4">
            <w:pPr>
              <w:jc w:val="center"/>
              <w:rPr>
                <w:rFonts w:hint="eastAsia" w:ascii="宋体" w:hAnsi="宋体" w:eastAsia="宋体" w:cs="宋体"/>
                <w:i w:val="0"/>
                <w:iCs w:val="0"/>
                <w:color w:val="000000"/>
                <w:sz w:val="20"/>
                <w:szCs w:val="20"/>
                <w:u w:val="none"/>
              </w:rPr>
            </w:pPr>
          </w:p>
        </w:tc>
        <w:tc>
          <w:tcPr>
            <w:tcW w:w="39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BA6053">
            <w:pPr>
              <w:jc w:val="left"/>
              <w:rPr>
                <w:rFonts w:hint="eastAsia" w:ascii="宋体" w:hAnsi="宋体" w:eastAsia="宋体" w:cs="宋体"/>
                <w:i w:val="0"/>
                <w:iCs w:val="0"/>
                <w:color w:val="000000"/>
                <w:sz w:val="20"/>
                <w:szCs w:val="20"/>
                <w:u w:val="none"/>
              </w:rPr>
            </w:pPr>
          </w:p>
        </w:tc>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E33B0F">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63F172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在电池接线柱上涂抹凡士林等保护剂防止氧化。</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11CFB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10A44A82">
            <w:pPr>
              <w:rPr>
                <w:rFonts w:hint="eastAsia" w:ascii="宋体" w:hAnsi="宋体" w:eastAsia="宋体" w:cs="宋体"/>
                <w:i w:val="0"/>
                <w:iCs w:val="0"/>
                <w:color w:val="000000"/>
                <w:sz w:val="20"/>
                <w:szCs w:val="20"/>
                <w:u w:val="none"/>
              </w:rPr>
            </w:pPr>
          </w:p>
        </w:tc>
      </w:tr>
      <w:tr w14:paraId="57D0E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45A0D3">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F9E3D8">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72E5E8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紧急切断装置</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FA23F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检查紧急切断装置外观，应无变形、损伤；</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C15C5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4C95FF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采用专用清洁工具清洁紧急切断装置；</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4126E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081A7284">
            <w:pPr>
              <w:rPr>
                <w:rFonts w:hint="eastAsia" w:ascii="宋体" w:hAnsi="宋体" w:eastAsia="宋体" w:cs="宋体"/>
                <w:i w:val="0"/>
                <w:iCs w:val="0"/>
                <w:color w:val="000000"/>
                <w:sz w:val="20"/>
                <w:szCs w:val="20"/>
                <w:u w:val="none"/>
              </w:rPr>
            </w:pPr>
          </w:p>
        </w:tc>
      </w:tr>
      <w:tr w14:paraId="5CE32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85FBAB">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38771A">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4EE90D">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88781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手动、电动开闭紧急切断装置各1次，功能应正常。</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1F83B5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每半年</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6189B7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紧急切断装置变形、损伤或失效应更换。</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F4046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5477922">
            <w:pPr>
              <w:rPr>
                <w:rFonts w:hint="eastAsia" w:ascii="宋体" w:hAnsi="宋体" w:eastAsia="宋体" w:cs="宋体"/>
                <w:i w:val="0"/>
                <w:iCs w:val="0"/>
                <w:color w:val="000000"/>
                <w:sz w:val="20"/>
                <w:szCs w:val="20"/>
                <w:u w:val="none"/>
              </w:rPr>
            </w:pPr>
          </w:p>
        </w:tc>
      </w:tr>
      <w:tr w14:paraId="67762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restart"/>
            <w:tcBorders>
              <w:top w:val="single" w:color="000000" w:sz="4" w:space="0"/>
              <w:left w:val="single" w:color="000000" w:sz="4" w:space="0"/>
              <w:bottom w:val="single" w:color="000000" w:sz="4" w:space="0"/>
              <w:right w:val="single" w:color="000000" w:sz="4" w:space="0"/>
            </w:tcBorders>
            <w:noWrap w:val="0"/>
            <w:vAlign w:val="center"/>
          </w:tcPr>
          <w:p w14:paraId="734E68F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11</w:t>
            </w:r>
          </w:p>
        </w:tc>
        <w:tc>
          <w:tcPr>
            <w:tcW w:w="1341" w:type="dxa"/>
            <w:vMerge w:val="restart"/>
            <w:tcBorders>
              <w:top w:val="single" w:color="000000" w:sz="4" w:space="0"/>
              <w:left w:val="single" w:color="000000" w:sz="4" w:space="0"/>
              <w:bottom w:val="single" w:color="000000" w:sz="4" w:space="0"/>
              <w:right w:val="single" w:color="000000" w:sz="4" w:space="0"/>
            </w:tcBorders>
            <w:noWrap w:val="0"/>
            <w:vAlign w:val="center"/>
          </w:tcPr>
          <w:p w14:paraId="29D97B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电气火灾监控系统</w:t>
            </w: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7F69AE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电气火灾监控器</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5AFEA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检查电气火灾监控器外观，声光报警器件、指示灯、显示器应正常；</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83464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4F65E3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紧固监控器接线部分；</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40659D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56D4EA09">
            <w:pPr>
              <w:jc w:val="center"/>
              <w:rPr>
                <w:rFonts w:hint="eastAsia" w:ascii="宋体" w:hAnsi="宋体" w:eastAsia="宋体" w:cs="宋体"/>
                <w:i w:val="0"/>
                <w:iCs w:val="0"/>
                <w:color w:val="000000"/>
                <w:sz w:val="20"/>
                <w:szCs w:val="20"/>
                <w:u w:val="none"/>
              </w:rPr>
            </w:pPr>
          </w:p>
        </w:tc>
      </w:tr>
      <w:tr w14:paraId="62CF1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1167A9">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CA4173">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A4AA0C">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854D5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检查故障信息及报警处理情况；</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F450C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11247A">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C6AFAC">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85FC71">
            <w:pPr>
              <w:jc w:val="center"/>
              <w:rPr>
                <w:rFonts w:hint="eastAsia" w:ascii="宋体" w:hAnsi="宋体" w:eastAsia="宋体" w:cs="宋体"/>
                <w:i w:val="0"/>
                <w:iCs w:val="0"/>
                <w:color w:val="000000"/>
                <w:sz w:val="20"/>
                <w:szCs w:val="20"/>
                <w:u w:val="none"/>
              </w:rPr>
            </w:pPr>
          </w:p>
        </w:tc>
      </w:tr>
      <w:tr w14:paraId="6060C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4C77B5">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988939">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3458E8">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3396E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检查各开关、按键，应正常；</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1AD6D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vMerge w:val="restart"/>
            <w:tcBorders>
              <w:top w:val="single" w:color="000000" w:sz="4" w:space="0"/>
              <w:left w:val="single" w:color="000000" w:sz="4" w:space="0"/>
              <w:bottom w:val="single" w:color="000000" w:sz="4" w:space="0"/>
              <w:right w:val="single" w:color="000000" w:sz="4" w:space="0"/>
            </w:tcBorders>
            <w:noWrap w:val="0"/>
            <w:vAlign w:val="center"/>
          </w:tcPr>
          <w:p w14:paraId="489C31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用专用清洁工具或软布清洁监控器。</w:t>
            </w: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14:paraId="471064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14:paraId="63C5BD64">
            <w:pPr>
              <w:jc w:val="center"/>
              <w:rPr>
                <w:rFonts w:hint="eastAsia" w:ascii="宋体" w:hAnsi="宋体" w:eastAsia="宋体" w:cs="宋体"/>
                <w:i w:val="0"/>
                <w:iCs w:val="0"/>
                <w:color w:val="000000"/>
                <w:sz w:val="20"/>
                <w:szCs w:val="20"/>
                <w:u w:val="none"/>
              </w:rPr>
            </w:pPr>
          </w:p>
        </w:tc>
      </w:tr>
      <w:tr w14:paraId="4C380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DCFDBE">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B8ABBF">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D3C8DF">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6EFAA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检查显示器显示内容。</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F0D9E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871115">
            <w:pPr>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1712D4">
            <w:pPr>
              <w:jc w:val="center"/>
              <w:rPr>
                <w:rFonts w:hint="eastAsia" w:ascii="宋体" w:hAnsi="宋体" w:eastAsia="宋体" w:cs="宋体"/>
                <w:i w:val="0"/>
                <w:iCs w:val="0"/>
                <w:color w:val="000000"/>
                <w:sz w:val="20"/>
                <w:szCs w:val="20"/>
                <w:u w:val="none"/>
              </w:rPr>
            </w:pPr>
          </w:p>
        </w:tc>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FCE06B">
            <w:pPr>
              <w:jc w:val="center"/>
              <w:rPr>
                <w:rFonts w:hint="eastAsia" w:ascii="宋体" w:hAnsi="宋体" w:eastAsia="宋体" w:cs="宋体"/>
                <w:i w:val="0"/>
                <w:iCs w:val="0"/>
                <w:color w:val="000000"/>
                <w:sz w:val="20"/>
                <w:szCs w:val="20"/>
                <w:u w:val="none"/>
              </w:rPr>
            </w:pPr>
          </w:p>
        </w:tc>
      </w:tr>
      <w:tr w14:paraId="4FFBF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A38194">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546100">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097A7A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电气火灾探测器</w:t>
            </w:r>
          </w:p>
        </w:tc>
        <w:tc>
          <w:tcPr>
            <w:tcW w:w="3994" w:type="dxa"/>
            <w:vMerge w:val="restart"/>
            <w:tcBorders>
              <w:top w:val="single" w:color="000000" w:sz="4" w:space="0"/>
              <w:left w:val="single" w:color="000000" w:sz="4" w:space="0"/>
              <w:bottom w:val="single" w:color="000000" w:sz="4" w:space="0"/>
              <w:right w:val="single" w:color="000000" w:sz="4" w:space="0"/>
            </w:tcBorders>
            <w:noWrap w:val="0"/>
            <w:vAlign w:val="center"/>
          </w:tcPr>
          <w:p w14:paraId="05A7ED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检查电气火灾监控探测器外观，指示灯、音响、显示器应正常。</w:t>
            </w:r>
          </w:p>
        </w:tc>
        <w:tc>
          <w:tcPr>
            <w:tcW w:w="1078" w:type="dxa"/>
            <w:vMerge w:val="restart"/>
            <w:tcBorders>
              <w:top w:val="single" w:color="000000" w:sz="4" w:space="0"/>
              <w:left w:val="single" w:color="000000" w:sz="4" w:space="0"/>
              <w:bottom w:val="single" w:color="000000" w:sz="4" w:space="0"/>
              <w:right w:val="single" w:color="000000" w:sz="4" w:space="0"/>
            </w:tcBorders>
            <w:noWrap w:val="0"/>
            <w:vAlign w:val="center"/>
          </w:tcPr>
          <w:p w14:paraId="222DC4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63F50E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每季度紧固探测器接线部分；</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9D734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F66672A">
            <w:pPr>
              <w:rPr>
                <w:rFonts w:hint="eastAsia" w:ascii="宋体" w:hAnsi="宋体" w:eastAsia="宋体" w:cs="宋体"/>
                <w:i w:val="0"/>
                <w:iCs w:val="0"/>
                <w:color w:val="000000"/>
                <w:sz w:val="20"/>
                <w:szCs w:val="20"/>
                <w:u w:val="none"/>
              </w:rPr>
            </w:pPr>
          </w:p>
        </w:tc>
      </w:tr>
      <w:tr w14:paraId="11BB0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055F99">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1AB295">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317751">
            <w:pPr>
              <w:jc w:val="center"/>
              <w:rPr>
                <w:rFonts w:hint="eastAsia" w:ascii="宋体" w:hAnsi="宋体" w:eastAsia="宋体" w:cs="宋体"/>
                <w:i w:val="0"/>
                <w:iCs w:val="0"/>
                <w:color w:val="000000"/>
                <w:sz w:val="20"/>
                <w:szCs w:val="20"/>
                <w:u w:val="none"/>
              </w:rPr>
            </w:pPr>
          </w:p>
        </w:tc>
        <w:tc>
          <w:tcPr>
            <w:tcW w:w="39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56E5EB">
            <w:pPr>
              <w:jc w:val="left"/>
              <w:rPr>
                <w:rFonts w:hint="eastAsia" w:ascii="宋体" w:hAnsi="宋体" w:eastAsia="宋体" w:cs="宋体"/>
                <w:i w:val="0"/>
                <w:iCs w:val="0"/>
                <w:color w:val="000000"/>
                <w:sz w:val="20"/>
                <w:szCs w:val="20"/>
                <w:u w:val="none"/>
              </w:rPr>
            </w:pPr>
          </w:p>
        </w:tc>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6C0F52">
            <w:pPr>
              <w:jc w:val="center"/>
              <w:rPr>
                <w:rFonts w:hint="eastAsia" w:ascii="宋体" w:hAnsi="宋体" w:eastAsia="宋体" w:cs="宋体"/>
                <w:i w:val="0"/>
                <w:iCs w:val="0"/>
                <w:color w:val="000000"/>
                <w:sz w:val="20"/>
                <w:szCs w:val="20"/>
                <w:u w:val="none"/>
              </w:rPr>
            </w:pP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2458DD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每季度用专用清洁工具或软布清洁探测器。</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96766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0F996BF0">
            <w:pPr>
              <w:rPr>
                <w:rFonts w:hint="eastAsia" w:ascii="宋体" w:hAnsi="宋体" w:eastAsia="宋体" w:cs="宋体"/>
                <w:i w:val="0"/>
                <w:iCs w:val="0"/>
                <w:color w:val="000000"/>
                <w:sz w:val="20"/>
                <w:szCs w:val="20"/>
                <w:u w:val="none"/>
              </w:rPr>
            </w:pPr>
          </w:p>
        </w:tc>
      </w:tr>
      <w:tr w14:paraId="740B2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72" w:type="dxa"/>
            <w:vMerge w:val="restart"/>
            <w:tcBorders>
              <w:top w:val="single" w:color="000000" w:sz="4" w:space="0"/>
              <w:left w:val="single" w:color="000000" w:sz="4" w:space="0"/>
              <w:bottom w:val="single" w:color="000000" w:sz="4" w:space="0"/>
              <w:right w:val="single" w:color="000000" w:sz="4" w:space="0"/>
            </w:tcBorders>
            <w:noWrap w:val="0"/>
            <w:vAlign w:val="center"/>
          </w:tcPr>
          <w:p w14:paraId="735B33B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w:t>
            </w:r>
          </w:p>
        </w:tc>
        <w:tc>
          <w:tcPr>
            <w:tcW w:w="1341" w:type="dxa"/>
            <w:vMerge w:val="restart"/>
            <w:tcBorders>
              <w:top w:val="single" w:color="000000" w:sz="4" w:space="0"/>
              <w:left w:val="single" w:color="000000" w:sz="4" w:space="0"/>
              <w:bottom w:val="single" w:color="000000" w:sz="4" w:space="0"/>
              <w:right w:val="single" w:color="000000" w:sz="4" w:space="0"/>
            </w:tcBorders>
            <w:noWrap w:val="0"/>
            <w:vAlign w:val="center"/>
          </w:tcPr>
          <w:p w14:paraId="60BB75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消防设备电源监控系统</w:t>
            </w: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645883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消防设备电源状态监控器</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BAA6C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检查监控器外观及柜体内部，应无损伤、变形、锈蚀；</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4312AF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18C81F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用吸尘器，潮湿软布等清除柜体内外灰尘，用压缩空气、毛刷等清除柜体内线路板、接线端子处灰尘，空气潮湿场所可在柜体内放置干燥剂；</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EF0A0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1F4071CA">
            <w:pPr>
              <w:rPr>
                <w:rFonts w:hint="eastAsia" w:ascii="宋体" w:hAnsi="宋体" w:eastAsia="宋体" w:cs="宋体"/>
                <w:i w:val="0"/>
                <w:iCs w:val="0"/>
                <w:color w:val="000000"/>
                <w:sz w:val="20"/>
                <w:szCs w:val="20"/>
                <w:u w:val="none"/>
              </w:rPr>
            </w:pPr>
          </w:p>
        </w:tc>
      </w:tr>
      <w:tr w14:paraId="1F81F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0A7243">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EF1246">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D5E897">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A390E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检查监控器各接线端子应连接牢固；</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41713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6D3C70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紧固松动的接线端子，更换锈蚀的螺钉、端子垫片等连接部件，去除锈蚀的导线端，搪锡后重新连接；</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4CBDF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0073854B">
            <w:pPr>
              <w:rPr>
                <w:rFonts w:hint="eastAsia" w:ascii="宋体" w:hAnsi="宋体" w:eastAsia="宋体" w:cs="宋体"/>
                <w:i w:val="0"/>
                <w:iCs w:val="0"/>
                <w:color w:val="000000"/>
                <w:sz w:val="20"/>
                <w:szCs w:val="20"/>
                <w:u w:val="none"/>
              </w:rPr>
            </w:pPr>
          </w:p>
        </w:tc>
      </w:tr>
      <w:tr w14:paraId="758A0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CE4AE0">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8DA2CF">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46D9DE">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37327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用万用表测量监控器总线回路最末端传感器供电电压，应符合说明书要求；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E03B5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714C65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监控器总线回路最末端传感器供电电压值小于说明书规定值时应更换回路板或调整线路；</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B7C8F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21C5EF9F">
            <w:pPr>
              <w:rPr>
                <w:rFonts w:hint="eastAsia" w:ascii="宋体" w:hAnsi="宋体" w:eastAsia="宋体" w:cs="宋体"/>
                <w:i w:val="0"/>
                <w:iCs w:val="0"/>
                <w:color w:val="000000"/>
                <w:sz w:val="20"/>
                <w:szCs w:val="20"/>
                <w:u w:val="none"/>
              </w:rPr>
            </w:pPr>
          </w:p>
        </w:tc>
      </w:tr>
      <w:tr w14:paraId="6614E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C1A471">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B1DC91">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DB3657">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1C029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检查监控器电池。</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01142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620D0E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电池应按照说明书要求保养。</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D8EB5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4A6FF569">
            <w:pPr>
              <w:rPr>
                <w:rFonts w:hint="eastAsia" w:ascii="宋体" w:hAnsi="宋体" w:eastAsia="宋体" w:cs="宋体"/>
                <w:i w:val="0"/>
                <w:iCs w:val="0"/>
                <w:color w:val="000000"/>
                <w:sz w:val="20"/>
                <w:szCs w:val="20"/>
                <w:u w:val="none"/>
              </w:rPr>
            </w:pPr>
          </w:p>
        </w:tc>
      </w:tr>
      <w:tr w14:paraId="13F59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083A81">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1895CC">
            <w:pPr>
              <w:jc w:val="center"/>
              <w:rPr>
                <w:rFonts w:hint="eastAsia" w:ascii="宋体" w:hAnsi="宋体" w:eastAsia="宋体" w:cs="宋体"/>
                <w:i w:val="0"/>
                <w:iCs w:val="0"/>
                <w:color w:val="000000"/>
                <w:sz w:val="20"/>
                <w:szCs w:val="20"/>
                <w:u w:val="none"/>
              </w:rPr>
            </w:pP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21F10E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电压/电流信号传感器</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EC148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检查传感器外观，应无损伤、变形、锈蚀；</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16A979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52CE4B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用专用清洁工具或软布及适当的清洁剂清洗传感器部件污染物，清洗后将传感器的电压/电流值标定到实际测量值；</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2D820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30F68B6D">
            <w:pPr>
              <w:rPr>
                <w:rFonts w:hint="eastAsia" w:ascii="宋体" w:hAnsi="宋体" w:eastAsia="宋体" w:cs="宋体"/>
                <w:i w:val="0"/>
                <w:iCs w:val="0"/>
                <w:color w:val="000000"/>
                <w:sz w:val="20"/>
                <w:szCs w:val="20"/>
                <w:u w:val="none"/>
              </w:rPr>
            </w:pPr>
          </w:p>
        </w:tc>
      </w:tr>
      <w:tr w14:paraId="15E6E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70D4A8">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AA236C">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A61B47">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2E326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检查传感器各接线端子应连接牢固。</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195D5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787579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紧固松动的接线端子，更换锈蚀的螺钉、端子垫片等连接部件，去除锈蚀的导线端，搪锡后重新连接。</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ACE2A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4F5B5B2E">
            <w:pPr>
              <w:rPr>
                <w:rFonts w:hint="eastAsia" w:ascii="宋体" w:hAnsi="宋体" w:eastAsia="宋体" w:cs="宋体"/>
                <w:i w:val="0"/>
                <w:iCs w:val="0"/>
                <w:color w:val="000000"/>
                <w:sz w:val="20"/>
                <w:szCs w:val="20"/>
                <w:u w:val="none"/>
              </w:rPr>
            </w:pPr>
          </w:p>
        </w:tc>
      </w:tr>
      <w:tr w14:paraId="274D1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restart"/>
            <w:tcBorders>
              <w:top w:val="single" w:color="000000" w:sz="4" w:space="0"/>
              <w:left w:val="single" w:color="000000" w:sz="4" w:space="0"/>
              <w:bottom w:val="single" w:color="000000" w:sz="4" w:space="0"/>
              <w:right w:val="single" w:color="000000" w:sz="4" w:space="0"/>
            </w:tcBorders>
            <w:noWrap/>
            <w:vAlign w:val="center"/>
          </w:tcPr>
          <w:p w14:paraId="7EE7E0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341" w:type="dxa"/>
            <w:vMerge w:val="restart"/>
            <w:tcBorders>
              <w:top w:val="single" w:color="000000" w:sz="4" w:space="0"/>
              <w:left w:val="single" w:color="000000" w:sz="4" w:space="0"/>
              <w:bottom w:val="single" w:color="000000" w:sz="4" w:space="0"/>
              <w:right w:val="single" w:color="000000" w:sz="4" w:space="0"/>
            </w:tcBorders>
            <w:noWrap w:val="0"/>
            <w:vAlign w:val="center"/>
          </w:tcPr>
          <w:p w14:paraId="522BC4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灭火器</w:t>
            </w: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1C83D3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灭火器</w:t>
            </w: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ADF4F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检查灭火器外观、标识及配置，应符合设计要求；</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2C3AA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09A520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用专用清洁工具或软布清洁灭火器；</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E6582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7036BA17">
            <w:pPr>
              <w:rPr>
                <w:rFonts w:hint="eastAsia" w:ascii="宋体" w:hAnsi="宋体" w:eastAsia="宋体" w:cs="宋体"/>
                <w:i w:val="0"/>
                <w:iCs w:val="0"/>
                <w:color w:val="000000"/>
                <w:sz w:val="20"/>
                <w:szCs w:val="20"/>
                <w:u w:val="none"/>
              </w:rPr>
            </w:pPr>
          </w:p>
        </w:tc>
      </w:tr>
      <w:tr w14:paraId="137CC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2" w:type="dxa"/>
            <w:vMerge w:val="continue"/>
            <w:tcBorders>
              <w:top w:val="single" w:color="000000" w:sz="4" w:space="0"/>
              <w:left w:val="single" w:color="000000" w:sz="4" w:space="0"/>
              <w:bottom w:val="single" w:color="000000" w:sz="4" w:space="0"/>
              <w:right w:val="single" w:color="000000" w:sz="4" w:space="0"/>
            </w:tcBorders>
            <w:noWrap/>
            <w:vAlign w:val="center"/>
          </w:tcPr>
          <w:p w14:paraId="7BB61AB4">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5446BE">
            <w:pPr>
              <w:jc w:val="center"/>
              <w:rPr>
                <w:rFonts w:hint="eastAsia" w:ascii="宋体" w:hAnsi="宋体" w:eastAsia="宋体" w:cs="宋体"/>
                <w:i w:val="0"/>
                <w:iCs w:val="0"/>
                <w:color w:val="000000"/>
                <w:sz w:val="20"/>
                <w:szCs w:val="20"/>
                <w:u w:val="none"/>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615AF0">
            <w:pPr>
              <w:jc w:val="center"/>
              <w:rPr>
                <w:rFonts w:hint="eastAsia" w:ascii="宋体" w:hAnsi="宋体" w:eastAsia="宋体" w:cs="宋体"/>
                <w:i w:val="0"/>
                <w:iCs w:val="0"/>
                <w:color w:val="000000"/>
                <w:sz w:val="20"/>
                <w:szCs w:val="20"/>
                <w:u w:val="none"/>
              </w:rPr>
            </w:pPr>
          </w:p>
        </w:tc>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A1873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检查室外放置灭火器的防雨、防晒措施应完好有效。</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1DD0E2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3713" w:type="dxa"/>
            <w:tcBorders>
              <w:top w:val="single" w:color="000000" w:sz="4" w:space="0"/>
              <w:left w:val="single" w:color="000000" w:sz="4" w:space="0"/>
              <w:bottom w:val="single" w:color="000000" w:sz="4" w:space="0"/>
              <w:right w:val="single" w:color="000000" w:sz="4" w:space="0"/>
            </w:tcBorders>
            <w:noWrap w:val="0"/>
            <w:vAlign w:val="center"/>
          </w:tcPr>
          <w:p w14:paraId="13E71B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灭火器配置类型、数量、放置地点不符合设计要求时应改正、补充。</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128AD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75C0A389">
            <w:pPr>
              <w:rPr>
                <w:rFonts w:hint="eastAsia" w:ascii="宋体" w:hAnsi="宋体" w:eastAsia="宋体" w:cs="宋体"/>
                <w:i w:val="0"/>
                <w:iCs w:val="0"/>
                <w:color w:val="000000"/>
                <w:sz w:val="20"/>
                <w:szCs w:val="20"/>
                <w:u w:val="none"/>
              </w:rPr>
            </w:pPr>
          </w:p>
        </w:tc>
      </w:tr>
    </w:tbl>
    <w:p w14:paraId="4BB328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jc w:val="left"/>
        <w:textAlignment w:val="auto"/>
        <w:outlineLvl w:val="9"/>
        <w:rPr>
          <w:rFonts w:hint="default" w:ascii="宋体" w:hAnsi="宋体" w:eastAsia="宋体" w:cs="宋体"/>
          <w:b w:val="0"/>
          <w:bCs w:val="0"/>
          <w:color w:val="auto"/>
          <w:sz w:val="24"/>
          <w:szCs w:val="24"/>
          <w:highlight w:val="none"/>
          <w:lang w:val="en-US" w:eastAsia="zh-CN"/>
        </w:rPr>
        <w:sectPr>
          <w:pgSz w:w="16838" w:h="11906" w:orient="landscape"/>
          <w:pgMar w:top="1588" w:right="1440" w:bottom="1588" w:left="1440" w:header="851" w:footer="992" w:gutter="0"/>
          <w:pgNumType w:fmt="decimal"/>
          <w:cols w:space="720" w:num="1"/>
          <w:docGrid w:type="lines" w:linePitch="312" w:charSpace="0"/>
        </w:sectPr>
      </w:pPr>
    </w:p>
    <w:p w14:paraId="2F2D5C09">
      <w:pPr>
        <w:rPr>
          <w:rFonts w:ascii="仿宋" w:hAnsi="仿宋" w:eastAsia="仿宋"/>
        </w:rPr>
      </w:pPr>
    </w:p>
    <w:p w14:paraId="591F4108">
      <w:pPr>
        <w:tabs>
          <w:tab w:val="left" w:pos="1260"/>
        </w:tabs>
        <w:snapToGrid w:val="0"/>
        <w:jc w:val="left"/>
        <w:outlineLvl w:val="0"/>
        <w:rPr>
          <w:rFonts w:hint="eastAsia" w:ascii="宋体" w:hAnsi="宋体" w:eastAsia="宋体" w:cs="Times New Roman"/>
          <w:b/>
          <w:sz w:val="24"/>
          <w:szCs w:val="28"/>
          <w:lang w:val="en-US" w:eastAsia="zh-CN"/>
        </w:rPr>
      </w:pPr>
      <w:r>
        <w:rPr>
          <w:rFonts w:hint="eastAsia" w:ascii="宋体" w:hAnsi="宋体" w:eastAsia="宋体" w:cs="Times New Roman"/>
          <w:b/>
          <w:sz w:val="24"/>
          <w:szCs w:val="28"/>
          <w:lang w:val="en-US" w:eastAsia="zh-CN"/>
        </w:rPr>
        <w:t>附件</w:t>
      </w:r>
      <w:r>
        <w:rPr>
          <w:rFonts w:hint="eastAsia" w:ascii="宋体" w:hAnsi="宋体" w:cs="Times New Roman"/>
          <w:b/>
          <w:sz w:val="24"/>
          <w:szCs w:val="28"/>
          <w:lang w:val="en-US" w:eastAsia="zh-CN"/>
        </w:rPr>
        <w:t>2</w:t>
      </w:r>
      <w:r>
        <w:rPr>
          <w:rFonts w:hint="eastAsia" w:ascii="宋体" w:hAnsi="宋体" w:eastAsia="宋体" w:cs="Times New Roman"/>
          <w:b/>
          <w:sz w:val="24"/>
          <w:szCs w:val="28"/>
          <w:lang w:val="en-US" w:eastAsia="zh-CN"/>
        </w:rPr>
        <w:t>：消防设备、设施、器材维护保养项目及其合格标准、工作频次</w:t>
      </w:r>
    </w:p>
    <w:p w14:paraId="6F889A13">
      <w:pPr>
        <w:pStyle w:val="2"/>
        <w:spacing w:before="0" w:after="0"/>
        <w:outlineLvl w:val="9"/>
        <w:rPr>
          <w:rFonts w:hint="default"/>
          <w:lang w:val="en-US" w:eastAsia="zh-CN"/>
        </w:rPr>
      </w:pPr>
    </w:p>
    <w:p w14:paraId="081EA5FC">
      <w:pPr>
        <w:tabs>
          <w:tab w:val="left" w:pos="1260"/>
        </w:tabs>
        <w:snapToGrid w:val="0"/>
        <w:jc w:val="center"/>
        <w:rPr>
          <w:rFonts w:hint="eastAsia" w:ascii="宋体" w:hAnsi="宋体" w:eastAsia="宋体" w:cs="Times New Roman"/>
          <w:b/>
          <w:sz w:val="24"/>
          <w:szCs w:val="28"/>
        </w:rPr>
      </w:pPr>
      <w:r>
        <w:rPr>
          <w:rFonts w:hint="eastAsia" w:ascii="宋体" w:hAnsi="宋体" w:eastAsia="宋体" w:cs="Times New Roman"/>
          <w:b/>
          <w:sz w:val="24"/>
          <w:szCs w:val="28"/>
        </w:rPr>
        <w:t>消防设备、设施、器材维护保养项目及其合格标准、工作频次</w:t>
      </w:r>
      <w:r>
        <w:rPr>
          <w:rFonts w:hint="eastAsia" w:ascii="宋体" w:hAnsi="宋体" w:eastAsia="宋体" w:cs="Times New Roman"/>
          <w:b/>
          <w:sz w:val="24"/>
          <w:szCs w:val="28"/>
          <w:lang w:val="en-US" w:eastAsia="zh-CN"/>
        </w:rPr>
        <w:t>任务单</w:t>
      </w:r>
      <w:r>
        <w:rPr>
          <w:rFonts w:hint="eastAsia" w:ascii="宋体" w:hAnsi="宋体" w:cs="Times New Roman"/>
          <w:b/>
          <w:sz w:val="24"/>
          <w:szCs w:val="28"/>
          <w:lang w:val="en-US" w:eastAsia="zh-CN"/>
        </w:rPr>
        <w:t>（根据现场设备项目可调整）</w:t>
      </w:r>
    </w:p>
    <w:p w14:paraId="3F8CD95E">
      <w:pPr>
        <w:tabs>
          <w:tab w:val="left" w:pos="1260"/>
        </w:tabs>
        <w:snapToGrid w:val="0"/>
        <w:jc w:val="center"/>
        <w:rPr>
          <w:rFonts w:hint="eastAsia" w:ascii="宋体" w:hAnsi="宋体" w:eastAsia="宋体" w:cs="Times New Roman"/>
          <w:b/>
          <w:sz w:val="24"/>
          <w:szCs w:val="28"/>
        </w:rPr>
      </w:pP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0"/>
        <w:gridCol w:w="490"/>
        <w:gridCol w:w="816"/>
        <w:gridCol w:w="4113"/>
        <w:gridCol w:w="1293"/>
        <w:gridCol w:w="587"/>
        <w:gridCol w:w="704"/>
        <w:gridCol w:w="512"/>
      </w:tblGrid>
      <w:tr w14:paraId="28936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0" w:type="auto"/>
            <w:gridSpan w:val="2"/>
            <w:vMerge w:val="restart"/>
            <w:tcBorders>
              <w:top w:val="single" w:color="auto" w:sz="4" w:space="0"/>
              <w:left w:val="single" w:color="auto" w:sz="4" w:space="0"/>
              <w:bottom w:val="single" w:color="auto" w:sz="4" w:space="0"/>
              <w:right w:val="single" w:color="auto" w:sz="4" w:space="0"/>
              <w:tl2br w:val="single" w:color="auto" w:sz="4" w:space="0"/>
            </w:tcBorders>
            <w:noWrap w:val="0"/>
            <w:vAlign w:val="top"/>
          </w:tcPr>
          <w:p w14:paraId="4796E4C3">
            <w:pPr>
              <w:jc w:val="center"/>
              <w:rPr>
                <w:rFonts w:hint="eastAsia" w:ascii="宋体" w:hAnsi="宋体" w:eastAsia="宋体" w:cs="宋体"/>
                <w:sz w:val="20"/>
                <w:szCs w:val="20"/>
              </w:rPr>
            </w:pPr>
            <w:r>
              <w:rPr>
                <w:rFonts w:hint="eastAsia" w:ascii="宋体" w:hAnsi="宋体" w:eastAsia="宋体" w:cs="宋体"/>
                <w:sz w:val="20"/>
                <w:szCs w:val="20"/>
              </w:rPr>
              <w:t xml:space="preserve">       分项要求</w:t>
            </w:r>
          </w:p>
          <w:p w14:paraId="479DD5B4">
            <w:pPr>
              <w:rPr>
                <w:rFonts w:hint="eastAsia" w:ascii="宋体" w:hAnsi="宋体" w:eastAsia="宋体" w:cs="宋体"/>
                <w:sz w:val="20"/>
                <w:szCs w:val="20"/>
              </w:rPr>
            </w:pPr>
            <w:r>
              <w:rPr>
                <w:rFonts w:hint="eastAsia" w:ascii="宋体" w:hAnsi="宋体" w:eastAsia="宋体" w:cs="宋体"/>
                <w:sz w:val="20"/>
                <w:szCs w:val="20"/>
              </w:rPr>
              <w:t>系统分类</w:t>
            </w:r>
          </w:p>
        </w:tc>
        <w:tc>
          <w:tcPr>
            <w:tcW w:w="0" w:type="auto"/>
            <w:vMerge w:val="restart"/>
            <w:tcBorders>
              <w:top w:val="single" w:color="auto" w:sz="4" w:space="0"/>
              <w:left w:val="single" w:color="auto" w:sz="4" w:space="0"/>
              <w:bottom w:val="single" w:color="auto" w:sz="4" w:space="0"/>
              <w:right w:val="single" w:color="auto" w:sz="4" w:space="0"/>
            </w:tcBorders>
            <w:noWrap w:val="0"/>
            <w:vAlign w:val="center"/>
          </w:tcPr>
          <w:p w14:paraId="0DF9CB87">
            <w:pPr>
              <w:jc w:val="center"/>
              <w:rPr>
                <w:rFonts w:hint="eastAsia" w:ascii="宋体" w:hAnsi="宋体" w:eastAsia="宋体" w:cs="宋体"/>
                <w:sz w:val="20"/>
                <w:szCs w:val="20"/>
              </w:rPr>
            </w:pPr>
            <w:r>
              <w:rPr>
                <w:rFonts w:hint="eastAsia" w:ascii="宋体" w:hAnsi="宋体" w:eastAsia="宋体" w:cs="宋体"/>
                <w:sz w:val="20"/>
                <w:szCs w:val="20"/>
              </w:rPr>
              <w:t>维护保养项目</w:t>
            </w:r>
          </w:p>
        </w:tc>
        <w:tc>
          <w:tcPr>
            <w:tcW w:w="5941" w:type="dxa"/>
            <w:vMerge w:val="restart"/>
            <w:tcBorders>
              <w:top w:val="single" w:color="auto" w:sz="4" w:space="0"/>
              <w:left w:val="single" w:color="auto" w:sz="4" w:space="0"/>
              <w:bottom w:val="single" w:color="auto" w:sz="4" w:space="0"/>
              <w:right w:val="single" w:color="auto" w:sz="4" w:space="0"/>
            </w:tcBorders>
            <w:noWrap w:val="0"/>
            <w:vAlign w:val="center"/>
          </w:tcPr>
          <w:p w14:paraId="5F9D87BF">
            <w:pPr>
              <w:jc w:val="center"/>
              <w:rPr>
                <w:rFonts w:hint="eastAsia" w:ascii="宋体" w:hAnsi="宋体" w:eastAsia="宋体" w:cs="宋体"/>
                <w:sz w:val="20"/>
                <w:szCs w:val="20"/>
              </w:rPr>
            </w:pPr>
            <w:r>
              <w:rPr>
                <w:rFonts w:hint="eastAsia" w:ascii="宋体" w:hAnsi="宋体" w:eastAsia="宋体" w:cs="宋体"/>
                <w:sz w:val="20"/>
                <w:szCs w:val="20"/>
              </w:rPr>
              <w:t>合格标准</w:t>
            </w:r>
          </w:p>
        </w:tc>
        <w:tc>
          <w:tcPr>
            <w:tcW w:w="1669" w:type="dxa"/>
            <w:vMerge w:val="restart"/>
            <w:tcBorders>
              <w:top w:val="single" w:color="auto" w:sz="4" w:space="0"/>
              <w:left w:val="single" w:color="auto" w:sz="4" w:space="0"/>
              <w:bottom w:val="single" w:color="auto" w:sz="4" w:space="0"/>
              <w:right w:val="single" w:color="auto" w:sz="4" w:space="0"/>
            </w:tcBorders>
            <w:noWrap w:val="0"/>
            <w:vAlign w:val="center"/>
          </w:tcPr>
          <w:p w14:paraId="5956B25F">
            <w:pPr>
              <w:jc w:val="center"/>
              <w:rPr>
                <w:rFonts w:hint="eastAsia" w:ascii="宋体" w:hAnsi="宋体" w:eastAsia="宋体" w:cs="宋体"/>
                <w:sz w:val="20"/>
                <w:szCs w:val="20"/>
              </w:rPr>
            </w:pPr>
            <w:r>
              <w:rPr>
                <w:rFonts w:hint="eastAsia" w:ascii="宋体" w:hAnsi="宋体" w:eastAsia="宋体" w:cs="宋体"/>
                <w:sz w:val="20"/>
                <w:szCs w:val="20"/>
              </w:rPr>
              <w:t>扣分标准（参考）</w:t>
            </w:r>
          </w:p>
        </w:tc>
        <w:tc>
          <w:tcPr>
            <w:tcW w:w="2053" w:type="dxa"/>
            <w:gridSpan w:val="3"/>
            <w:tcBorders>
              <w:top w:val="single" w:color="auto" w:sz="4" w:space="0"/>
              <w:left w:val="single" w:color="auto" w:sz="4" w:space="0"/>
              <w:bottom w:val="single" w:color="auto" w:sz="4" w:space="0"/>
              <w:right w:val="single" w:color="auto" w:sz="4" w:space="0"/>
            </w:tcBorders>
            <w:noWrap w:val="0"/>
            <w:vAlign w:val="center"/>
          </w:tcPr>
          <w:p w14:paraId="387B77C1">
            <w:pPr>
              <w:jc w:val="center"/>
              <w:rPr>
                <w:rFonts w:hint="eastAsia" w:ascii="宋体" w:hAnsi="宋体" w:eastAsia="宋体" w:cs="宋体"/>
                <w:sz w:val="20"/>
                <w:szCs w:val="20"/>
              </w:rPr>
            </w:pPr>
            <w:r>
              <w:rPr>
                <w:rFonts w:hint="eastAsia" w:ascii="宋体" w:hAnsi="宋体" w:eastAsia="宋体" w:cs="宋体"/>
                <w:sz w:val="20"/>
                <w:szCs w:val="20"/>
              </w:rPr>
              <w:t>工 作 频 次</w:t>
            </w:r>
          </w:p>
        </w:tc>
      </w:tr>
      <w:tr w14:paraId="4AE51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0" w:type="auto"/>
            <w:gridSpan w:val="2"/>
            <w:vMerge w:val="continue"/>
            <w:tcBorders>
              <w:top w:val="single" w:color="auto" w:sz="4" w:space="0"/>
              <w:left w:val="single" w:color="auto" w:sz="4" w:space="0"/>
              <w:bottom w:val="single" w:color="auto" w:sz="4" w:space="0"/>
              <w:right w:val="single" w:color="auto" w:sz="4" w:space="0"/>
              <w:tl2br w:val="single" w:color="auto" w:sz="4" w:space="0"/>
            </w:tcBorders>
            <w:noWrap w:val="0"/>
            <w:vAlign w:val="center"/>
          </w:tcPr>
          <w:p w14:paraId="36FC8D35">
            <w:pPr>
              <w:widowControl/>
              <w:jc w:val="left"/>
              <w:rPr>
                <w:rFonts w:hint="eastAsia" w:ascii="宋体" w:hAnsi="宋体" w:eastAsia="宋体" w:cs="宋体"/>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E046CFE">
            <w:pPr>
              <w:widowControl/>
              <w:jc w:val="left"/>
              <w:rPr>
                <w:rFonts w:hint="eastAsia" w:ascii="宋体" w:hAnsi="宋体" w:eastAsia="宋体" w:cs="宋体"/>
                <w:sz w:val="20"/>
                <w:szCs w:val="20"/>
              </w:rPr>
            </w:pPr>
          </w:p>
        </w:tc>
        <w:tc>
          <w:tcPr>
            <w:tcW w:w="5941" w:type="dxa"/>
            <w:vMerge w:val="continue"/>
            <w:tcBorders>
              <w:top w:val="single" w:color="auto" w:sz="4" w:space="0"/>
              <w:left w:val="single" w:color="auto" w:sz="4" w:space="0"/>
              <w:bottom w:val="single" w:color="auto" w:sz="4" w:space="0"/>
              <w:right w:val="single" w:color="auto" w:sz="4" w:space="0"/>
            </w:tcBorders>
            <w:noWrap w:val="0"/>
            <w:vAlign w:val="center"/>
          </w:tcPr>
          <w:p w14:paraId="52881B09">
            <w:pPr>
              <w:widowControl/>
              <w:jc w:val="left"/>
              <w:rPr>
                <w:rFonts w:hint="eastAsia" w:ascii="宋体" w:hAnsi="宋体" w:eastAsia="宋体" w:cs="宋体"/>
                <w:sz w:val="20"/>
                <w:szCs w:val="20"/>
              </w:rPr>
            </w:pPr>
          </w:p>
        </w:tc>
        <w:tc>
          <w:tcPr>
            <w:tcW w:w="1669" w:type="dxa"/>
            <w:vMerge w:val="continue"/>
            <w:tcBorders>
              <w:top w:val="single" w:color="auto" w:sz="4" w:space="0"/>
              <w:left w:val="single" w:color="auto" w:sz="4" w:space="0"/>
              <w:bottom w:val="single" w:color="auto" w:sz="4" w:space="0"/>
              <w:right w:val="single" w:color="auto" w:sz="4" w:space="0"/>
            </w:tcBorders>
            <w:noWrap w:val="0"/>
            <w:vAlign w:val="center"/>
          </w:tcPr>
          <w:p w14:paraId="4A3B1846">
            <w:pPr>
              <w:widowControl/>
              <w:jc w:val="left"/>
              <w:rPr>
                <w:rFonts w:hint="eastAsia" w:ascii="宋体" w:hAnsi="宋体" w:eastAsia="宋体" w:cs="宋体"/>
                <w:sz w:val="20"/>
                <w:szCs w:val="20"/>
              </w:rPr>
            </w:pPr>
          </w:p>
        </w:tc>
        <w:tc>
          <w:tcPr>
            <w:tcW w:w="682" w:type="dxa"/>
            <w:tcBorders>
              <w:top w:val="single" w:color="auto" w:sz="4" w:space="0"/>
              <w:left w:val="single" w:color="auto" w:sz="4" w:space="0"/>
              <w:bottom w:val="single" w:color="auto" w:sz="4" w:space="0"/>
              <w:right w:val="single" w:color="auto" w:sz="4" w:space="0"/>
            </w:tcBorders>
            <w:noWrap w:val="0"/>
            <w:vAlign w:val="center"/>
          </w:tcPr>
          <w:p w14:paraId="60BB5B1B">
            <w:pPr>
              <w:jc w:val="center"/>
              <w:rPr>
                <w:rFonts w:hint="eastAsia" w:ascii="宋体" w:hAnsi="宋体" w:eastAsia="宋体" w:cs="宋体"/>
                <w:sz w:val="20"/>
                <w:szCs w:val="20"/>
              </w:rPr>
            </w:pPr>
            <w:r>
              <w:rPr>
                <w:rFonts w:hint="eastAsia" w:ascii="宋体" w:hAnsi="宋体" w:eastAsia="宋体" w:cs="宋体"/>
                <w:sz w:val="20"/>
                <w:szCs w:val="20"/>
              </w:rPr>
              <w:t>周</w:t>
            </w:r>
          </w:p>
        </w:tc>
        <w:tc>
          <w:tcPr>
            <w:tcW w:w="808" w:type="dxa"/>
            <w:tcBorders>
              <w:top w:val="single" w:color="auto" w:sz="4" w:space="0"/>
              <w:left w:val="single" w:color="auto" w:sz="4" w:space="0"/>
              <w:bottom w:val="single" w:color="auto" w:sz="4" w:space="0"/>
              <w:right w:val="single" w:color="auto" w:sz="4" w:space="0"/>
            </w:tcBorders>
            <w:noWrap w:val="0"/>
            <w:vAlign w:val="center"/>
          </w:tcPr>
          <w:p w14:paraId="5DFE0A31">
            <w:pPr>
              <w:jc w:val="center"/>
              <w:rPr>
                <w:rFonts w:hint="eastAsia" w:ascii="宋体" w:hAnsi="宋体" w:eastAsia="宋体" w:cs="宋体"/>
                <w:sz w:val="20"/>
                <w:szCs w:val="20"/>
              </w:rPr>
            </w:pPr>
            <w:r>
              <w:rPr>
                <w:rFonts w:hint="eastAsia" w:ascii="宋体" w:hAnsi="宋体" w:eastAsia="宋体" w:cs="宋体"/>
                <w:sz w:val="20"/>
                <w:szCs w:val="20"/>
              </w:rPr>
              <w:t>月</w:t>
            </w:r>
          </w:p>
        </w:tc>
        <w:tc>
          <w:tcPr>
            <w:tcW w:w="563" w:type="dxa"/>
            <w:tcBorders>
              <w:top w:val="single" w:color="auto" w:sz="4" w:space="0"/>
              <w:left w:val="single" w:color="auto" w:sz="4" w:space="0"/>
              <w:bottom w:val="single" w:color="auto" w:sz="4" w:space="0"/>
              <w:right w:val="single" w:color="auto" w:sz="4" w:space="0"/>
            </w:tcBorders>
            <w:noWrap w:val="0"/>
            <w:vAlign w:val="center"/>
          </w:tcPr>
          <w:p w14:paraId="10B1C7C8">
            <w:pPr>
              <w:jc w:val="center"/>
              <w:rPr>
                <w:rFonts w:hint="eastAsia" w:ascii="宋体" w:hAnsi="宋体" w:eastAsia="宋体" w:cs="宋体"/>
                <w:sz w:val="20"/>
                <w:szCs w:val="20"/>
              </w:rPr>
            </w:pPr>
            <w:r>
              <w:rPr>
                <w:rFonts w:hint="eastAsia" w:ascii="宋体" w:hAnsi="宋体" w:eastAsia="宋体" w:cs="宋体"/>
                <w:sz w:val="20"/>
                <w:szCs w:val="20"/>
              </w:rPr>
              <w:t>季</w:t>
            </w:r>
          </w:p>
        </w:tc>
      </w:tr>
      <w:tr w14:paraId="170F1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jc w:val="center"/>
        </w:trPr>
        <w:tc>
          <w:tcPr>
            <w:tcW w:w="0" w:type="auto"/>
            <w:vMerge w:val="restart"/>
            <w:tcBorders>
              <w:top w:val="single" w:color="auto" w:sz="4" w:space="0"/>
              <w:left w:val="single" w:color="auto" w:sz="4" w:space="0"/>
              <w:right w:val="single" w:color="auto" w:sz="4" w:space="0"/>
            </w:tcBorders>
            <w:noWrap w:val="0"/>
            <w:textDirection w:val="tbRlV"/>
            <w:vAlign w:val="center"/>
          </w:tcPr>
          <w:p w14:paraId="6F22CCB6">
            <w:pPr>
              <w:ind w:left="113" w:right="113"/>
              <w:jc w:val="center"/>
              <w:rPr>
                <w:rFonts w:hint="eastAsia" w:ascii="宋体" w:hAnsi="宋体" w:eastAsia="宋体" w:cs="宋体"/>
                <w:sz w:val="20"/>
                <w:szCs w:val="20"/>
                <w:lang w:val="en-US" w:eastAsia="zh-CN"/>
              </w:rPr>
            </w:pPr>
            <w:r>
              <w:rPr>
                <w:rFonts w:hint="eastAsia" w:ascii="宋体" w:hAnsi="宋体" w:eastAsia="宋体" w:cs="宋体"/>
                <w:sz w:val="20"/>
                <w:szCs w:val="20"/>
              </w:rPr>
              <w:t>火灾自动报警系统</w:t>
            </w:r>
            <w:r>
              <w:rPr>
                <w:rFonts w:hint="eastAsia" w:ascii="宋体" w:hAnsi="宋体" w:cs="宋体"/>
                <w:sz w:val="20"/>
                <w:szCs w:val="20"/>
                <w:lang w:eastAsia="zh-CN"/>
              </w:rPr>
              <w:t>（</w:t>
            </w:r>
            <w:r>
              <w:rPr>
                <w:rFonts w:hint="eastAsia" w:ascii="宋体" w:hAnsi="宋体" w:cs="宋体"/>
                <w:sz w:val="20"/>
                <w:szCs w:val="20"/>
                <w:lang w:val="en-US" w:eastAsia="zh-CN"/>
              </w:rPr>
              <w:t>分值20分</w:t>
            </w:r>
            <w:r>
              <w:rPr>
                <w:rFonts w:hint="eastAsia" w:ascii="宋体" w:hAnsi="宋体" w:cs="宋体"/>
                <w:sz w:val="20"/>
                <w:szCs w:val="20"/>
                <w:lang w:eastAsia="zh-CN"/>
              </w:rPr>
              <w:t>）</w:t>
            </w:r>
          </w:p>
        </w:tc>
        <w:tc>
          <w:tcPr>
            <w:tcW w:w="0" w:type="auto"/>
            <w:vMerge w:val="restart"/>
            <w:tcBorders>
              <w:top w:val="single" w:color="auto" w:sz="4" w:space="0"/>
              <w:left w:val="single" w:color="auto" w:sz="4" w:space="0"/>
              <w:right w:val="single" w:color="auto" w:sz="4" w:space="0"/>
            </w:tcBorders>
            <w:noWrap w:val="0"/>
            <w:textDirection w:val="tbRlV"/>
            <w:vAlign w:val="center"/>
          </w:tcPr>
          <w:p w14:paraId="0FC8657F">
            <w:pPr>
              <w:ind w:left="113" w:right="113"/>
              <w:jc w:val="center"/>
              <w:rPr>
                <w:rFonts w:hint="eastAsia" w:ascii="宋体" w:hAnsi="宋体" w:eastAsia="宋体" w:cs="宋体"/>
                <w:sz w:val="20"/>
                <w:szCs w:val="20"/>
              </w:rPr>
            </w:pPr>
            <w:r>
              <w:rPr>
                <w:rFonts w:hint="eastAsia" w:ascii="宋体" w:hAnsi="宋体" w:eastAsia="宋体" w:cs="宋体"/>
                <w:sz w:val="20"/>
                <w:szCs w:val="20"/>
              </w:rPr>
              <w:t>智能火灾自动报警控制器</w:t>
            </w:r>
          </w:p>
        </w:tc>
        <w:tc>
          <w:tcPr>
            <w:tcW w:w="0" w:type="auto"/>
            <w:tcBorders>
              <w:top w:val="single" w:color="auto" w:sz="4" w:space="0"/>
              <w:left w:val="single" w:color="auto" w:sz="4" w:space="0"/>
              <w:bottom w:val="single" w:color="auto" w:sz="4" w:space="0"/>
              <w:right w:val="single" w:color="auto" w:sz="4" w:space="0"/>
            </w:tcBorders>
            <w:noWrap w:val="0"/>
            <w:vAlign w:val="top"/>
          </w:tcPr>
          <w:p w14:paraId="49B78565">
            <w:pPr>
              <w:rPr>
                <w:rFonts w:hint="eastAsia" w:ascii="宋体" w:hAnsi="宋体" w:eastAsia="宋体" w:cs="宋体"/>
                <w:sz w:val="20"/>
                <w:szCs w:val="20"/>
              </w:rPr>
            </w:pPr>
            <w:r>
              <w:rPr>
                <w:rFonts w:hint="eastAsia" w:ascii="宋体" w:hAnsi="宋体" w:eastAsia="宋体" w:cs="宋体"/>
                <w:sz w:val="20"/>
                <w:szCs w:val="20"/>
              </w:rPr>
              <w:t>火灾自动报警主机在平时要处于正常监视状态</w:t>
            </w:r>
          </w:p>
        </w:tc>
        <w:tc>
          <w:tcPr>
            <w:tcW w:w="5941" w:type="dxa"/>
            <w:tcBorders>
              <w:top w:val="single" w:color="auto" w:sz="4" w:space="0"/>
              <w:left w:val="single" w:color="auto" w:sz="4" w:space="0"/>
              <w:bottom w:val="single" w:color="auto" w:sz="4" w:space="0"/>
              <w:right w:val="single" w:color="auto" w:sz="4" w:space="0"/>
            </w:tcBorders>
            <w:noWrap w:val="0"/>
            <w:vAlign w:val="top"/>
          </w:tcPr>
          <w:p w14:paraId="28833D48">
            <w:pPr>
              <w:rPr>
                <w:rFonts w:hint="eastAsia" w:ascii="宋体" w:hAnsi="宋体" w:eastAsia="宋体" w:cs="宋体"/>
                <w:sz w:val="20"/>
                <w:szCs w:val="20"/>
              </w:rPr>
            </w:pPr>
            <w:r>
              <w:rPr>
                <w:rFonts w:hint="eastAsia" w:ascii="宋体" w:hAnsi="宋体" w:eastAsia="宋体" w:cs="宋体"/>
                <w:sz w:val="20"/>
                <w:szCs w:val="20"/>
              </w:rPr>
              <w:t>交流电源灯点亮，其它显示灯全部熄灭，开关全部处于正常位置</w:t>
            </w:r>
          </w:p>
        </w:tc>
        <w:tc>
          <w:tcPr>
            <w:tcW w:w="1669" w:type="dxa"/>
            <w:tcBorders>
              <w:top w:val="single" w:color="auto" w:sz="4" w:space="0"/>
              <w:left w:val="single" w:color="auto" w:sz="4" w:space="0"/>
              <w:bottom w:val="single" w:color="auto" w:sz="4" w:space="0"/>
              <w:right w:val="single" w:color="auto" w:sz="4" w:space="0"/>
            </w:tcBorders>
            <w:noWrap w:val="0"/>
            <w:vAlign w:val="top"/>
          </w:tcPr>
          <w:p w14:paraId="39777FD9">
            <w:pPr>
              <w:rPr>
                <w:rFonts w:hint="eastAsia" w:ascii="宋体" w:hAnsi="宋体" w:eastAsia="宋体" w:cs="宋体"/>
                <w:sz w:val="20"/>
                <w:szCs w:val="20"/>
              </w:rPr>
            </w:pPr>
            <w:r>
              <w:rPr>
                <w:rFonts w:hint="eastAsia" w:ascii="宋体" w:hAnsi="宋体" w:eastAsia="宋体" w:cs="宋体"/>
                <w:sz w:val="20"/>
                <w:szCs w:val="20"/>
              </w:rPr>
              <w:t>设置不正确每一项扣2分</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7286F180">
            <w:pPr>
              <w:jc w:val="center"/>
              <w:rPr>
                <w:rFonts w:hint="eastAsia" w:ascii="宋体" w:hAnsi="宋体" w:eastAsia="宋体" w:cs="宋体"/>
                <w:b/>
                <w:sz w:val="20"/>
                <w:szCs w:val="20"/>
              </w:rPr>
            </w:pPr>
            <w:r>
              <w:rPr>
                <w:rFonts w:hint="eastAsia" w:ascii="宋体" w:hAnsi="宋体" w:eastAsia="宋体" w:cs="宋体"/>
                <w:b/>
                <w:sz w:val="20"/>
                <w:szCs w:val="20"/>
              </w:rPr>
              <w:t>ⅴ</w:t>
            </w:r>
          </w:p>
        </w:tc>
        <w:tc>
          <w:tcPr>
            <w:tcW w:w="808" w:type="dxa"/>
            <w:tcBorders>
              <w:top w:val="single" w:color="auto" w:sz="4" w:space="0"/>
              <w:left w:val="single" w:color="auto" w:sz="4" w:space="0"/>
              <w:bottom w:val="single" w:color="auto" w:sz="4" w:space="0"/>
              <w:right w:val="single" w:color="auto" w:sz="4" w:space="0"/>
            </w:tcBorders>
            <w:noWrap w:val="0"/>
            <w:vAlign w:val="center"/>
          </w:tcPr>
          <w:p w14:paraId="5F43DE10">
            <w:pPr>
              <w:jc w:val="center"/>
              <w:rPr>
                <w:rFonts w:hint="eastAsia" w:ascii="宋体" w:hAnsi="宋体" w:eastAsia="宋体" w:cs="宋体"/>
                <w:sz w:val="20"/>
                <w:szCs w:val="20"/>
              </w:rPr>
            </w:pPr>
          </w:p>
        </w:tc>
        <w:tc>
          <w:tcPr>
            <w:tcW w:w="563" w:type="dxa"/>
            <w:tcBorders>
              <w:top w:val="single" w:color="auto" w:sz="4" w:space="0"/>
              <w:left w:val="single" w:color="auto" w:sz="4" w:space="0"/>
              <w:bottom w:val="single" w:color="auto" w:sz="4" w:space="0"/>
              <w:right w:val="single" w:color="auto" w:sz="4" w:space="0"/>
            </w:tcBorders>
            <w:noWrap w:val="0"/>
            <w:vAlign w:val="center"/>
          </w:tcPr>
          <w:p w14:paraId="51615910">
            <w:pPr>
              <w:jc w:val="center"/>
              <w:rPr>
                <w:rFonts w:hint="eastAsia" w:ascii="宋体" w:hAnsi="宋体" w:eastAsia="宋体" w:cs="宋体"/>
                <w:sz w:val="20"/>
                <w:szCs w:val="20"/>
              </w:rPr>
            </w:pPr>
          </w:p>
        </w:tc>
      </w:tr>
      <w:tr w14:paraId="7692A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0" w:type="auto"/>
            <w:vMerge w:val="continue"/>
            <w:tcBorders>
              <w:left w:val="single" w:color="auto" w:sz="4" w:space="0"/>
              <w:right w:val="single" w:color="auto" w:sz="4" w:space="0"/>
            </w:tcBorders>
            <w:noWrap w:val="0"/>
            <w:vAlign w:val="center"/>
          </w:tcPr>
          <w:p w14:paraId="211B52A2">
            <w:pPr>
              <w:widowControl/>
              <w:jc w:val="left"/>
              <w:rPr>
                <w:rFonts w:hint="eastAsia" w:ascii="宋体" w:hAnsi="宋体" w:eastAsia="宋体" w:cs="宋体"/>
                <w:sz w:val="20"/>
                <w:szCs w:val="20"/>
              </w:rPr>
            </w:pPr>
          </w:p>
        </w:tc>
        <w:tc>
          <w:tcPr>
            <w:tcW w:w="0" w:type="auto"/>
            <w:vMerge w:val="continue"/>
            <w:tcBorders>
              <w:left w:val="single" w:color="auto" w:sz="4" w:space="0"/>
              <w:right w:val="single" w:color="auto" w:sz="4" w:space="0"/>
            </w:tcBorders>
            <w:noWrap w:val="0"/>
            <w:vAlign w:val="center"/>
          </w:tcPr>
          <w:p w14:paraId="28F65B9D">
            <w:pPr>
              <w:widowControl/>
              <w:jc w:val="left"/>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8FA31B9">
            <w:pPr>
              <w:rPr>
                <w:rFonts w:hint="eastAsia" w:ascii="宋体" w:hAnsi="宋体" w:eastAsia="宋体" w:cs="宋体"/>
                <w:sz w:val="20"/>
                <w:szCs w:val="20"/>
              </w:rPr>
            </w:pPr>
            <w:r>
              <w:rPr>
                <w:rFonts w:hint="eastAsia" w:ascii="宋体" w:hAnsi="宋体" w:eastAsia="宋体" w:cs="宋体"/>
                <w:sz w:val="20"/>
                <w:szCs w:val="20"/>
              </w:rPr>
              <w:t>火警模拟试验（做此试验时，相关联动设备要切离），分手动和自动火灾试验</w:t>
            </w:r>
          </w:p>
        </w:tc>
        <w:tc>
          <w:tcPr>
            <w:tcW w:w="5941" w:type="dxa"/>
            <w:tcBorders>
              <w:top w:val="single" w:color="auto" w:sz="4" w:space="0"/>
              <w:left w:val="single" w:color="auto" w:sz="4" w:space="0"/>
              <w:bottom w:val="single" w:color="auto" w:sz="4" w:space="0"/>
              <w:right w:val="single" w:color="auto" w:sz="4" w:space="0"/>
            </w:tcBorders>
            <w:noWrap w:val="0"/>
            <w:vAlign w:val="center"/>
          </w:tcPr>
          <w:p w14:paraId="30BD2F15">
            <w:pPr>
              <w:rPr>
                <w:rFonts w:hint="eastAsia" w:ascii="宋体" w:hAnsi="宋体" w:eastAsia="宋体" w:cs="宋体"/>
                <w:sz w:val="20"/>
                <w:szCs w:val="20"/>
              </w:rPr>
            </w:pPr>
            <w:r>
              <w:rPr>
                <w:rFonts w:hint="eastAsia" w:ascii="宋体" w:hAnsi="宋体" w:eastAsia="宋体" w:cs="宋体"/>
                <w:sz w:val="20"/>
                <w:szCs w:val="20"/>
              </w:rPr>
              <w:t>主机和中继器、各类模块的信号接收回路要正常动作</w:t>
            </w:r>
          </w:p>
        </w:tc>
        <w:tc>
          <w:tcPr>
            <w:tcW w:w="1669" w:type="dxa"/>
            <w:tcBorders>
              <w:top w:val="single" w:color="auto" w:sz="4" w:space="0"/>
              <w:left w:val="single" w:color="auto" w:sz="4" w:space="0"/>
              <w:bottom w:val="single" w:color="auto" w:sz="4" w:space="0"/>
              <w:right w:val="single" w:color="auto" w:sz="4" w:space="0"/>
            </w:tcBorders>
            <w:noWrap w:val="0"/>
            <w:vAlign w:val="center"/>
          </w:tcPr>
          <w:p w14:paraId="0BAC0745">
            <w:pPr>
              <w:rPr>
                <w:rFonts w:hint="eastAsia" w:ascii="宋体" w:hAnsi="宋体" w:eastAsia="宋体" w:cs="宋体"/>
                <w:sz w:val="20"/>
                <w:szCs w:val="20"/>
              </w:rPr>
            </w:pPr>
            <w:r>
              <w:rPr>
                <w:rFonts w:hint="eastAsia" w:ascii="宋体" w:hAnsi="宋体" w:eastAsia="宋体" w:cs="宋体"/>
                <w:sz w:val="20"/>
                <w:szCs w:val="20"/>
              </w:rPr>
              <w:t>有一故障点扣除0.5分</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1D18048B">
            <w:pPr>
              <w:jc w:val="center"/>
              <w:rPr>
                <w:rFonts w:hint="eastAsia" w:ascii="宋体" w:hAnsi="宋体" w:eastAsia="宋体" w:cs="宋体"/>
                <w:sz w:val="20"/>
                <w:szCs w:val="20"/>
              </w:rPr>
            </w:pPr>
          </w:p>
        </w:tc>
        <w:tc>
          <w:tcPr>
            <w:tcW w:w="808" w:type="dxa"/>
            <w:tcBorders>
              <w:top w:val="single" w:color="auto" w:sz="4" w:space="0"/>
              <w:left w:val="single" w:color="auto" w:sz="4" w:space="0"/>
              <w:bottom w:val="single" w:color="auto" w:sz="4" w:space="0"/>
              <w:right w:val="single" w:color="auto" w:sz="4" w:space="0"/>
            </w:tcBorders>
            <w:noWrap w:val="0"/>
            <w:vAlign w:val="center"/>
          </w:tcPr>
          <w:p w14:paraId="1A0B43F4">
            <w:pPr>
              <w:jc w:val="center"/>
              <w:rPr>
                <w:rFonts w:hint="eastAsia" w:ascii="宋体" w:hAnsi="宋体" w:eastAsia="宋体" w:cs="宋体"/>
                <w:b/>
                <w:sz w:val="20"/>
                <w:szCs w:val="20"/>
              </w:rPr>
            </w:pPr>
            <w:r>
              <w:rPr>
                <w:rFonts w:hint="eastAsia" w:ascii="宋体" w:hAnsi="宋体" w:eastAsia="宋体" w:cs="宋体"/>
                <w:b/>
                <w:sz w:val="20"/>
                <w:szCs w:val="20"/>
              </w:rPr>
              <w:t>ⅴ</w:t>
            </w:r>
          </w:p>
        </w:tc>
        <w:tc>
          <w:tcPr>
            <w:tcW w:w="563" w:type="dxa"/>
            <w:tcBorders>
              <w:top w:val="single" w:color="auto" w:sz="4" w:space="0"/>
              <w:left w:val="single" w:color="auto" w:sz="4" w:space="0"/>
              <w:bottom w:val="single" w:color="auto" w:sz="4" w:space="0"/>
              <w:right w:val="single" w:color="auto" w:sz="4" w:space="0"/>
            </w:tcBorders>
            <w:noWrap w:val="0"/>
            <w:vAlign w:val="center"/>
          </w:tcPr>
          <w:p w14:paraId="55BF1023">
            <w:pPr>
              <w:jc w:val="center"/>
              <w:rPr>
                <w:rFonts w:hint="eastAsia" w:ascii="宋体" w:hAnsi="宋体" w:eastAsia="宋体" w:cs="宋体"/>
                <w:sz w:val="20"/>
                <w:szCs w:val="20"/>
              </w:rPr>
            </w:pPr>
          </w:p>
        </w:tc>
      </w:tr>
      <w:tr w14:paraId="35C14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0" w:type="auto"/>
            <w:vMerge w:val="continue"/>
            <w:tcBorders>
              <w:left w:val="single" w:color="auto" w:sz="4" w:space="0"/>
              <w:right w:val="single" w:color="auto" w:sz="4" w:space="0"/>
            </w:tcBorders>
            <w:noWrap w:val="0"/>
            <w:vAlign w:val="center"/>
          </w:tcPr>
          <w:p w14:paraId="45ACA0E7">
            <w:pPr>
              <w:widowControl/>
              <w:jc w:val="left"/>
              <w:rPr>
                <w:rFonts w:hint="eastAsia" w:ascii="宋体" w:hAnsi="宋体" w:eastAsia="宋体" w:cs="宋体"/>
                <w:sz w:val="20"/>
                <w:szCs w:val="20"/>
              </w:rPr>
            </w:pPr>
          </w:p>
        </w:tc>
        <w:tc>
          <w:tcPr>
            <w:tcW w:w="0" w:type="auto"/>
            <w:vMerge w:val="continue"/>
            <w:tcBorders>
              <w:left w:val="single" w:color="auto" w:sz="4" w:space="0"/>
              <w:right w:val="single" w:color="auto" w:sz="4" w:space="0"/>
            </w:tcBorders>
            <w:noWrap w:val="0"/>
            <w:vAlign w:val="center"/>
          </w:tcPr>
          <w:p w14:paraId="5CC4F1EF">
            <w:pPr>
              <w:widowControl/>
              <w:jc w:val="left"/>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F8541D6">
            <w:pPr>
              <w:rPr>
                <w:rFonts w:hint="eastAsia" w:ascii="宋体" w:hAnsi="宋体" w:eastAsia="宋体" w:cs="宋体"/>
                <w:sz w:val="20"/>
                <w:szCs w:val="20"/>
              </w:rPr>
            </w:pPr>
            <w:r>
              <w:rPr>
                <w:rFonts w:hint="eastAsia" w:ascii="宋体" w:hAnsi="宋体" w:eastAsia="宋体" w:cs="宋体"/>
                <w:sz w:val="20"/>
                <w:szCs w:val="20"/>
              </w:rPr>
              <w:t>显示部试验</w:t>
            </w:r>
          </w:p>
        </w:tc>
        <w:tc>
          <w:tcPr>
            <w:tcW w:w="5941" w:type="dxa"/>
            <w:tcBorders>
              <w:top w:val="single" w:color="auto" w:sz="4" w:space="0"/>
              <w:left w:val="single" w:color="auto" w:sz="4" w:space="0"/>
              <w:bottom w:val="single" w:color="auto" w:sz="4" w:space="0"/>
              <w:right w:val="single" w:color="auto" w:sz="4" w:space="0"/>
            </w:tcBorders>
            <w:noWrap w:val="0"/>
            <w:vAlign w:val="top"/>
          </w:tcPr>
          <w:p w14:paraId="03A89461">
            <w:pPr>
              <w:rPr>
                <w:rFonts w:hint="eastAsia" w:ascii="宋体" w:hAnsi="宋体" w:eastAsia="宋体" w:cs="宋体"/>
                <w:sz w:val="20"/>
                <w:szCs w:val="20"/>
              </w:rPr>
            </w:pPr>
            <w:r>
              <w:rPr>
                <w:rFonts w:hint="eastAsia" w:ascii="宋体" w:hAnsi="宋体" w:eastAsia="宋体" w:cs="宋体"/>
                <w:sz w:val="20"/>
                <w:szCs w:val="20"/>
              </w:rPr>
              <w:t>主机的数码显示、LCD（液晶）画面显示功能要正常</w:t>
            </w:r>
          </w:p>
        </w:tc>
        <w:tc>
          <w:tcPr>
            <w:tcW w:w="1669" w:type="dxa"/>
            <w:tcBorders>
              <w:top w:val="single" w:color="auto" w:sz="4" w:space="0"/>
              <w:left w:val="single" w:color="auto" w:sz="4" w:space="0"/>
              <w:bottom w:val="single" w:color="auto" w:sz="4" w:space="0"/>
              <w:right w:val="single" w:color="auto" w:sz="4" w:space="0"/>
            </w:tcBorders>
            <w:noWrap w:val="0"/>
            <w:vAlign w:val="center"/>
          </w:tcPr>
          <w:p w14:paraId="448E2A9B">
            <w:pPr>
              <w:rPr>
                <w:rFonts w:hint="eastAsia" w:ascii="宋体" w:hAnsi="宋体" w:eastAsia="宋体" w:cs="宋体"/>
                <w:sz w:val="20"/>
                <w:szCs w:val="20"/>
              </w:rPr>
            </w:pPr>
            <w:r>
              <w:rPr>
                <w:rFonts w:hint="eastAsia" w:ascii="宋体" w:hAnsi="宋体" w:eastAsia="宋体" w:cs="宋体"/>
                <w:sz w:val="20"/>
                <w:szCs w:val="20"/>
              </w:rPr>
              <w:t>显示器功能不正常扣1分</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4F2122C6">
            <w:pPr>
              <w:jc w:val="center"/>
              <w:rPr>
                <w:rFonts w:hint="eastAsia" w:ascii="宋体" w:hAnsi="宋体" w:eastAsia="宋体" w:cs="宋体"/>
                <w:b/>
                <w:sz w:val="20"/>
                <w:szCs w:val="20"/>
              </w:rPr>
            </w:pPr>
            <w:r>
              <w:rPr>
                <w:rFonts w:hint="eastAsia" w:ascii="宋体" w:hAnsi="宋体" w:eastAsia="宋体" w:cs="宋体"/>
                <w:b/>
                <w:sz w:val="20"/>
                <w:szCs w:val="20"/>
              </w:rPr>
              <w:t>ⅴ</w:t>
            </w:r>
          </w:p>
        </w:tc>
        <w:tc>
          <w:tcPr>
            <w:tcW w:w="808" w:type="dxa"/>
            <w:tcBorders>
              <w:top w:val="single" w:color="auto" w:sz="4" w:space="0"/>
              <w:left w:val="single" w:color="auto" w:sz="4" w:space="0"/>
              <w:bottom w:val="single" w:color="auto" w:sz="4" w:space="0"/>
              <w:right w:val="single" w:color="auto" w:sz="4" w:space="0"/>
            </w:tcBorders>
            <w:noWrap w:val="0"/>
            <w:vAlign w:val="center"/>
          </w:tcPr>
          <w:p w14:paraId="1657F5C1">
            <w:pPr>
              <w:jc w:val="center"/>
              <w:rPr>
                <w:rFonts w:hint="eastAsia" w:ascii="宋体" w:hAnsi="宋体" w:eastAsia="宋体" w:cs="宋体"/>
                <w:sz w:val="20"/>
                <w:szCs w:val="20"/>
              </w:rPr>
            </w:pPr>
          </w:p>
        </w:tc>
        <w:tc>
          <w:tcPr>
            <w:tcW w:w="563" w:type="dxa"/>
            <w:tcBorders>
              <w:top w:val="single" w:color="auto" w:sz="4" w:space="0"/>
              <w:left w:val="single" w:color="auto" w:sz="4" w:space="0"/>
              <w:bottom w:val="single" w:color="auto" w:sz="4" w:space="0"/>
              <w:right w:val="single" w:color="auto" w:sz="4" w:space="0"/>
            </w:tcBorders>
            <w:noWrap w:val="0"/>
            <w:vAlign w:val="center"/>
          </w:tcPr>
          <w:p w14:paraId="63111EF8">
            <w:pPr>
              <w:jc w:val="center"/>
              <w:rPr>
                <w:rFonts w:hint="eastAsia" w:ascii="宋体" w:hAnsi="宋体" w:eastAsia="宋体" w:cs="宋体"/>
                <w:sz w:val="20"/>
                <w:szCs w:val="20"/>
              </w:rPr>
            </w:pPr>
          </w:p>
        </w:tc>
      </w:tr>
      <w:tr w14:paraId="1F58E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jc w:val="center"/>
        </w:trPr>
        <w:tc>
          <w:tcPr>
            <w:tcW w:w="0" w:type="auto"/>
            <w:vMerge w:val="continue"/>
            <w:tcBorders>
              <w:left w:val="single" w:color="auto" w:sz="4" w:space="0"/>
              <w:right w:val="single" w:color="auto" w:sz="4" w:space="0"/>
            </w:tcBorders>
            <w:noWrap w:val="0"/>
            <w:vAlign w:val="center"/>
          </w:tcPr>
          <w:p w14:paraId="2E77C7E7">
            <w:pPr>
              <w:widowControl/>
              <w:jc w:val="left"/>
              <w:rPr>
                <w:rFonts w:hint="eastAsia" w:ascii="宋体" w:hAnsi="宋体" w:eastAsia="宋体" w:cs="宋体"/>
                <w:sz w:val="20"/>
                <w:szCs w:val="20"/>
              </w:rPr>
            </w:pPr>
          </w:p>
        </w:tc>
        <w:tc>
          <w:tcPr>
            <w:tcW w:w="0" w:type="auto"/>
            <w:vMerge w:val="continue"/>
            <w:tcBorders>
              <w:left w:val="single" w:color="auto" w:sz="4" w:space="0"/>
              <w:right w:val="single" w:color="auto" w:sz="4" w:space="0"/>
            </w:tcBorders>
            <w:noWrap w:val="0"/>
            <w:vAlign w:val="center"/>
          </w:tcPr>
          <w:p w14:paraId="71AF3C7B">
            <w:pPr>
              <w:widowControl/>
              <w:jc w:val="left"/>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7679A4F">
            <w:pPr>
              <w:rPr>
                <w:rFonts w:hint="eastAsia" w:ascii="宋体" w:hAnsi="宋体" w:eastAsia="宋体" w:cs="宋体"/>
                <w:sz w:val="20"/>
                <w:szCs w:val="20"/>
              </w:rPr>
            </w:pPr>
            <w:r>
              <w:rPr>
                <w:rFonts w:hint="eastAsia" w:ascii="宋体" w:hAnsi="宋体" w:eastAsia="宋体" w:cs="宋体"/>
                <w:sz w:val="20"/>
                <w:szCs w:val="20"/>
              </w:rPr>
              <w:t>延时（蓄积）时间试验</w:t>
            </w:r>
          </w:p>
        </w:tc>
        <w:tc>
          <w:tcPr>
            <w:tcW w:w="5941" w:type="dxa"/>
            <w:tcBorders>
              <w:top w:val="single" w:color="auto" w:sz="4" w:space="0"/>
              <w:left w:val="single" w:color="auto" w:sz="4" w:space="0"/>
              <w:bottom w:val="single" w:color="auto" w:sz="4" w:space="0"/>
              <w:right w:val="single" w:color="auto" w:sz="4" w:space="0"/>
            </w:tcBorders>
            <w:noWrap w:val="0"/>
            <w:vAlign w:val="top"/>
          </w:tcPr>
          <w:p w14:paraId="5DEE2DB3">
            <w:pPr>
              <w:rPr>
                <w:rFonts w:hint="eastAsia" w:ascii="宋体" w:hAnsi="宋体" w:eastAsia="宋体" w:cs="宋体"/>
                <w:sz w:val="20"/>
                <w:szCs w:val="20"/>
              </w:rPr>
            </w:pPr>
            <w:r>
              <w:rPr>
                <w:rFonts w:hint="eastAsia" w:ascii="宋体" w:hAnsi="宋体" w:eastAsia="宋体" w:cs="宋体"/>
                <w:sz w:val="20"/>
                <w:szCs w:val="20"/>
              </w:rPr>
              <w:t>利用秒表测定主机的火灾报警延时功能要正确、延时时间达到标准要求</w:t>
            </w:r>
          </w:p>
        </w:tc>
        <w:tc>
          <w:tcPr>
            <w:tcW w:w="1669" w:type="dxa"/>
            <w:tcBorders>
              <w:top w:val="single" w:color="auto" w:sz="4" w:space="0"/>
              <w:left w:val="single" w:color="auto" w:sz="4" w:space="0"/>
              <w:bottom w:val="single" w:color="auto" w:sz="4" w:space="0"/>
              <w:right w:val="single" w:color="auto" w:sz="4" w:space="0"/>
            </w:tcBorders>
            <w:noWrap w:val="0"/>
            <w:vAlign w:val="center"/>
          </w:tcPr>
          <w:p w14:paraId="4A0EE12E">
            <w:pPr>
              <w:rPr>
                <w:rFonts w:hint="eastAsia" w:ascii="宋体" w:hAnsi="宋体" w:eastAsia="宋体" w:cs="宋体"/>
                <w:sz w:val="20"/>
                <w:szCs w:val="20"/>
              </w:rPr>
            </w:pPr>
            <w:r>
              <w:rPr>
                <w:rFonts w:hint="eastAsia" w:ascii="宋体" w:hAnsi="宋体" w:eastAsia="宋体" w:cs="宋体"/>
                <w:sz w:val="20"/>
                <w:szCs w:val="20"/>
              </w:rPr>
              <w:t>延时设置不准确扣1分</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19E029AF">
            <w:pPr>
              <w:jc w:val="center"/>
              <w:rPr>
                <w:rFonts w:hint="eastAsia" w:ascii="宋体" w:hAnsi="宋体" w:eastAsia="宋体" w:cs="宋体"/>
                <w:sz w:val="20"/>
                <w:szCs w:val="20"/>
              </w:rPr>
            </w:pPr>
          </w:p>
        </w:tc>
        <w:tc>
          <w:tcPr>
            <w:tcW w:w="808" w:type="dxa"/>
            <w:tcBorders>
              <w:top w:val="single" w:color="auto" w:sz="4" w:space="0"/>
              <w:left w:val="single" w:color="auto" w:sz="4" w:space="0"/>
              <w:bottom w:val="single" w:color="auto" w:sz="4" w:space="0"/>
              <w:right w:val="single" w:color="auto" w:sz="4" w:space="0"/>
            </w:tcBorders>
            <w:noWrap w:val="0"/>
            <w:vAlign w:val="center"/>
          </w:tcPr>
          <w:p w14:paraId="28B4369D">
            <w:pPr>
              <w:jc w:val="center"/>
              <w:rPr>
                <w:rFonts w:hint="eastAsia" w:ascii="宋体" w:hAnsi="宋体" w:eastAsia="宋体" w:cs="宋体"/>
                <w:b/>
                <w:sz w:val="20"/>
                <w:szCs w:val="20"/>
              </w:rPr>
            </w:pPr>
            <w:r>
              <w:rPr>
                <w:rFonts w:hint="eastAsia" w:ascii="宋体" w:hAnsi="宋体" w:eastAsia="宋体" w:cs="宋体"/>
                <w:b/>
                <w:sz w:val="20"/>
                <w:szCs w:val="20"/>
              </w:rPr>
              <w:t>ⅴ</w:t>
            </w:r>
          </w:p>
        </w:tc>
        <w:tc>
          <w:tcPr>
            <w:tcW w:w="563" w:type="dxa"/>
            <w:tcBorders>
              <w:top w:val="single" w:color="auto" w:sz="4" w:space="0"/>
              <w:left w:val="single" w:color="auto" w:sz="4" w:space="0"/>
              <w:bottom w:val="single" w:color="auto" w:sz="4" w:space="0"/>
              <w:right w:val="single" w:color="auto" w:sz="4" w:space="0"/>
            </w:tcBorders>
            <w:noWrap w:val="0"/>
            <w:vAlign w:val="center"/>
          </w:tcPr>
          <w:p w14:paraId="7DDA81A8">
            <w:pPr>
              <w:jc w:val="center"/>
              <w:rPr>
                <w:rFonts w:hint="eastAsia" w:ascii="宋体" w:hAnsi="宋体" w:eastAsia="宋体" w:cs="宋体"/>
                <w:sz w:val="20"/>
                <w:szCs w:val="20"/>
              </w:rPr>
            </w:pPr>
          </w:p>
        </w:tc>
      </w:tr>
      <w:tr w14:paraId="4B65A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jc w:val="center"/>
        </w:trPr>
        <w:tc>
          <w:tcPr>
            <w:tcW w:w="0" w:type="auto"/>
            <w:vMerge w:val="continue"/>
            <w:tcBorders>
              <w:left w:val="single" w:color="auto" w:sz="4" w:space="0"/>
              <w:right w:val="single" w:color="auto" w:sz="4" w:space="0"/>
            </w:tcBorders>
            <w:noWrap w:val="0"/>
            <w:vAlign w:val="center"/>
          </w:tcPr>
          <w:p w14:paraId="7160502F">
            <w:pPr>
              <w:widowControl/>
              <w:jc w:val="left"/>
              <w:rPr>
                <w:rFonts w:hint="eastAsia" w:ascii="宋体" w:hAnsi="宋体" w:eastAsia="宋体" w:cs="宋体"/>
                <w:sz w:val="20"/>
                <w:szCs w:val="20"/>
              </w:rPr>
            </w:pPr>
          </w:p>
        </w:tc>
        <w:tc>
          <w:tcPr>
            <w:tcW w:w="0" w:type="auto"/>
            <w:vMerge w:val="continue"/>
            <w:tcBorders>
              <w:left w:val="single" w:color="auto" w:sz="4" w:space="0"/>
              <w:right w:val="single" w:color="auto" w:sz="4" w:space="0"/>
            </w:tcBorders>
            <w:noWrap w:val="0"/>
            <w:vAlign w:val="center"/>
          </w:tcPr>
          <w:p w14:paraId="6BE8B5BA">
            <w:pPr>
              <w:widowControl/>
              <w:jc w:val="left"/>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4E782E7">
            <w:pPr>
              <w:rPr>
                <w:rFonts w:hint="eastAsia" w:ascii="宋体" w:hAnsi="宋体" w:eastAsia="宋体" w:cs="宋体"/>
                <w:sz w:val="20"/>
                <w:szCs w:val="20"/>
              </w:rPr>
            </w:pPr>
            <w:r>
              <w:rPr>
                <w:rFonts w:hint="eastAsia" w:ascii="宋体" w:hAnsi="宋体" w:eastAsia="宋体" w:cs="宋体"/>
                <w:sz w:val="20"/>
                <w:szCs w:val="20"/>
              </w:rPr>
              <w:t>火灾自动报警控制器主机上手动遥控终端设备动作</w:t>
            </w:r>
          </w:p>
        </w:tc>
        <w:tc>
          <w:tcPr>
            <w:tcW w:w="5941" w:type="dxa"/>
            <w:tcBorders>
              <w:top w:val="single" w:color="auto" w:sz="4" w:space="0"/>
              <w:left w:val="single" w:color="auto" w:sz="4" w:space="0"/>
              <w:bottom w:val="single" w:color="auto" w:sz="4" w:space="0"/>
              <w:right w:val="single" w:color="auto" w:sz="4" w:space="0"/>
            </w:tcBorders>
            <w:noWrap w:val="0"/>
            <w:vAlign w:val="top"/>
          </w:tcPr>
          <w:p w14:paraId="6D295C3B">
            <w:pPr>
              <w:rPr>
                <w:rFonts w:hint="eastAsia" w:ascii="宋体" w:hAnsi="宋体" w:eastAsia="宋体" w:cs="宋体"/>
                <w:sz w:val="20"/>
                <w:szCs w:val="20"/>
              </w:rPr>
            </w:pPr>
            <w:r>
              <w:rPr>
                <w:rFonts w:hint="eastAsia" w:ascii="宋体" w:hAnsi="宋体" w:eastAsia="宋体" w:cs="宋体"/>
                <w:sz w:val="20"/>
                <w:szCs w:val="20"/>
              </w:rPr>
              <w:t>能够在主机上手动遥控终端设备。输入其终端设备的系统和地址号能够按系统编程要求动作终端设备</w:t>
            </w:r>
          </w:p>
        </w:tc>
        <w:tc>
          <w:tcPr>
            <w:tcW w:w="1669" w:type="dxa"/>
            <w:tcBorders>
              <w:top w:val="single" w:color="auto" w:sz="4" w:space="0"/>
              <w:left w:val="single" w:color="auto" w:sz="4" w:space="0"/>
              <w:bottom w:val="single" w:color="auto" w:sz="4" w:space="0"/>
              <w:right w:val="single" w:color="auto" w:sz="4" w:space="0"/>
            </w:tcBorders>
            <w:noWrap w:val="0"/>
            <w:vAlign w:val="center"/>
          </w:tcPr>
          <w:p w14:paraId="1904F10C">
            <w:pPr>
              <w:rPr>
                <w:rFonts w:hint="eastAsia" w:ascii="宋体" w:hAnsi="宋体" w:eastAsia="宋体" w:cs="宋体"/>
                <w:sz w:val="20"/>
                <w:szCs w:val="20"/>
              </w:rPr>
            </w:pPr>
            <w:r>
              <w:rPr>
                <w:rFonts w:hint="eastAsia" w:ascii="宋体" w:hAnsi="宋体" w:eastAsia="宋体" w:cs="宋体"/>
                <w:sz w:val="20"/>
                <w:szCs w:val="20"/>
              </w:rPr>
              <w:t>不动作每一项扣0.5分</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4C323331">
            <w:pPr>
              <w:jc w:val="center"/>
              <w:rPr>
                <w:rFonts w:hint="eastAsia" w:ascii="宋体" w:hAnsi="宋体" w:eastAsia="宋体" w:cs="宋体"/>
                <w:sz w:val="20"/>
                <w:szCs w:val="20"/>
              </w:rPr>
            </w:pPr>
          </w:p>
        </w:tc>
        <w:tc>
          <w:tcPr>
            <w:tcW w:w="808" w:type="dxa"/>
            <w:tcBorders>
              <w:top w:val="single" w:color="auto" w:sz="4" w:space="0"/>
              <w:left w:val="single" w:color="auto" w:sz="4" w:space="0"/>
              <w:bottom w:val="single" w:color="auto" w:sz="4" w:space="0"/>
              <w:right w:val="single" w:color="auto" w:sz="4" w:space="0"/>
            </w:tcBorders>
            <w:noWrap w:val="0"/>
            <w:vAlign w:val="center"/>
          </w:tcPr>
          <w:p w14:paraId="556D6573">
            <w:pPr>
              <w:jc w:val="center"/>
              <w:rPr>
                <w:rFonts w:hint="eastAsia" w:ascii="宋体" w:hAnsi="宋体" w:eastAsia="宋体" w:cs="宋体"/>
                <w:b/>
                <w:sz w:val="20"/>
                <w:szCs w:val="20"/>
              </w:rPr>
            </w:pPr>
            <w:r>
              <w:rPr>
                <w:rFonts w:hint="eastAsia" w:ascii="宋体" w:hAnsi="宋体" w:eastAsia="宋体" w:cs="宋体"/>
                <w:b/>
                <w:sz w:val="20"/>
                <w:szCs w:val="20"/>
              </w:rPr>
              <w:t>ⅴ</w:t>
            </w:r>
          </w:p>
        </w:tc>
        <w:tc>
          <w:tcPr>
            <w:tcW w:w="563" w:type="dxa"/>
            <w:tcBorders>
              <w:top w:val="single" w:color="auto" w:sz="4" w:space="0"/>
              <w:left w:val="single" w:color="auto" w:sz="4" w:space="0"/>
              <w:bottom w:val="single" w:color="auto" w:sz="4" w:space="0"/>
              <w:right w:val="single" w:color="auto" w:sz="4" w:space="0"/>
            </w:tcBorders>
            <w:noWrap w:val="0"/>
            <w:vAlign w:val="center"/>
          </w:tcPr>
          <w:p w14:paraId="3C798016">
            <w:pPr>
              <w:jc w:val="center"/>
              <w:rPr>
                <w:rFonts w:hint="eastAsia" w:ascii="宋体" w:hAnsi="宋体" w:eastAsia="宋体" w:cs="宋体"/>
                <w:sz w:val="20"/>
                <w:szCs w:val="20"/>
              </w:rPr>
            </w:pPr>
          </w:p>
        </w:tc>
      </w:tr>
      <w:tr w14:paraId="29A6A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0" w:type="auto"/>
            <w:vMerge w:val="continue"/>
            <w:tcBorders>
              <w:left w:val="single" w:color="auto" w:sz="4" w:space="0"/>
              <w:right w:val="single" w:color="auto" w:sz="4" w:space="0"/>
            </w:tcBorders>
            <w:noWrap w:val="0"/>
            <w:vAlign w:val="center"/>
          </w:tcPr>
          <w:p w14:paraId="2B1E49C1">
            <w:pPr>
              <w:widowControl/>
              <w:jc w:val="left"/>
              <w:rPr>
                <w:rFonts w:hint="eastAsia" w:ascii="宋体" w:hAnsi="宋体" w:eastAsia="宋体" w:cs="宋体"/>
                <w:sz w:val="20"/>
                <w:szCs w:val="20"/>
              </w:rPr>
            </w:pPr>
          </w:p>
        </w:tc>
        <w:tc>
          <w:tcPr>
            <w:tcW w:w="0" w:type="auto"/>
            <w:vMerge w:val="continue"/>
            <w:tcBorders>
              <w:left w:val="single" w:color="auto" w:sz="4" w:space="0"/>
              <w:right w:val="single" w:color="auto" w:sz="4" w:space="0"/>
            </w:tcBorders>
            <w:noWrap w:val="0"/>
            <w:vAlign w:val="center"/>
          </w:tcPr>
          <w:p w14:paraId="1486E8E7">
            <w:pPr>
              <w:widowControl/>
              <w:jc w:val="left"/>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65D6388">
            <w:pPr>
              <w:rPr>
                <w:rFonts w:hint="eastAsia" w:ascii="宋体" w:hAnsi="宋体" w:eastAsia="宋体" w:cs="宋体"/>
                <w:sz w:val="20"/>
                <w:szCs w:val="20"/>
              </w:rPr>
            </w:pPr>
            <w:r>
              <w:rPr>
                <w:rFonts w:hint="eastAsia" w:ascii="宋体" w:hAnsi="宋体" w:eastAsia="宋体" w:cs="宋体"/>
                <w:sz w:val="20"/>
                <w:szCs w:val="20"/>
              </w:rPr>
              <w:t>备用电源试验</w:t>
            </w:r>
          </w:p>
        </w:tc>
        <w:tc>
          <w:tcPr>
            <w:tcW w:w="5941" w:type="dxa"/>
            <w:tcBorders>
              <w:top w:val="single" w:color="auto" w:sz="4" w:space="0"/>
              <w:left w:val="single" w:color="auto" w:sz="4" w:space="0"/>
              <w:bottom w:val="single" w:color="auto" w:sz="4" w:space="0"/>
              <w:right w:val="single" w:color="auto" w:sz="4" w:space="0"/>
            </w:tcBorders>
            <w:noWrap w:val="0"/>
            <w:vAlign w:val="top"/>
          </w:tcPr>
          <w:p w14:paraId="00BE664E">
            <w:pPr>
              <w:rPr>
                <w:rFonts w:hint="eastAsia" w:ascii="宋体" w:hAnsi="宋体" w:eastAsia="宋体" w:cs="宋体"/>
                <w:sz w:val="20"/>
                <w:szCs w:val="20"/>
              </w:rPr>
            </w:pPr>
            <w:r>
              <w:rPr>
                <w:rFonts w:hint="eastAsia" w:ascii="宋体" w:hAnsi="宋体" w:eastAsia="宋体" w:cs="宋体"/>
                <w:sz w:val="20"/>
                <w:szCs w:val="20"/>
              </w:rPr>
              <w:t>作为备用电源装在本机内的蓄电池性能要正常</w:t>
            </w:r>
          </w:p>
        </w:tc>
        <w:tc>
          <w:tcPr>
            <w:tcW w:w="1669" w:type="dxa"/>
            <w:tcBorders>
              <w:top w:val="single" w:color="auto" w:sz="4" w:space="0"/>
              <w:left w:val="single" w:color="auto" w:sz="4" w:space="0"/>
              <w:bottom w:val="single" w:color="auto" w:sz="4" w:space="0"/>
              <w:right w:val="single" w:color="auto" w:sz="4" w:space="0"/>
            </w:tcBorders>
            <w:noWrap w:val="0"/>
            <w:vAlign w:val="center"/>
          </w:tcPr>
          <w:p w14:paraId="64D82BD2">
            <w:pPr>
              <w:rPr>
                <w:rFonts w:hint="eastAsia" w:ascii="宋体" w:hAnsi="宋体" w:eastAsia="宋体" w:cs="宋体"/>
                <w:sz w:val="20"/>
                <w:szCs w:val="20"/>
              </w:rPr>
            </w:pPr>
            <w:r>
              <w:rPr>
                <w:rFonts w:hint="eastAsia" w:ascii="宋体" w:hAnsi="宋体" w:eastAsia="宋体" w:cs="宋体"/>
                <w:sz w:val="20"/>
                <w:szCs w:val="20"/>
              </w:rPr>
              <w:t>不正常扣1分</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507157A6">
            <w:pPr>
              <w:jc w:val="center"/>
              <w:rPr>
                <w:rFonts w:hint="eastAsia" w:ascii="宋体" w:hAnsi="宋体" w:eastAsia="宋体" w:cs="宋体"/>
                <w:sz w:val="20"/>
                <w:szCs w:val="20"/>
              </w:rPr>
            </w:pPr>
            <w:r>
              <w:rPr>
                <w:rFonts w:hint="eastAsia" w:ascii="宋体" w:hAnsi="宋体" w:eastAsia="宋体" w:cs="宋体"/>
                <w:b/>
                <w:sz w:val="20"/>
                <w:szCs w:val="20"/>
              </w:rPr>
              <w:t>ⅴ</w:t>
            </w:r>
          </w:p>
        </w:tc>
        <w:tc>
          <w:tcPr>
            <w:tcW w:w="808" w:type="dxa"/>
            <w:tcBorders>
              <w:top w:val="single" w:color="auto" w:sz="4" w:space="0"/>
              <w:left w:val="single" w:color="auto" w:sz="4" w:space="0"/>
              <w:bottom w:val="single" w:color="auto" w:sz="4" w:space="0"/>
              <w:right w:val="single" w:color="auto" w:sz="4" w:space="0"/>
            </w:tcBorders>
            <w:noWrap w:val="0"/>
            <w:vAlign w:val="center"/>
          </w:tcPr>
          <w:p w14:paraId="3EF72753">
            <w:pPr>
              <w:jc w:val="center"/>
              <w:rPr>
                <w:rFonts w:hint="eastAsia" w:ascii="宋体" w:hAnsi="宋体" w:eastAsia="宋体" w:cs="宋体"/>
                <w:b/>
                <w:sz w:val="20"/>
                <w:szCs w:val="20"/>
              </w:rPr>
            </w:pPr>
          </w:p>
        </w:tc>
        <w:tc>
          <w:tcPr>
            <w:tcW w:w="563" w:type="dxa"/>
            <w:tcBorders>
              <w:top w:val="single" w:color="auto" w:sz="4" w:space="0"/>
              <w:left w:val="single" w:color="auto" w:sz="4" w:space="0"/>
              <w:bottom w:val="single" w:color="auto" w:sz="4" w:space="0"/>
              <w:right w:val="single" w:color="auto" w:sz="4" w:space="0"/>
            </w:tcBorders>
            <w:noWrap w:val="0"/>
            <w:vAlign w:val="center"/>
          </w:tcPr>
          <w:p w14:paraId="4AA37B6E">
            <w:pPr>
              <w:jc w:val="center"/>
              <w:rPr>
                <w:rFonts w:hint="eastAsia" w:ascii="宋体" w:hAnsi="宋体" w:eastAsia="宋体" w:cs="宋体"/>
                <w:sz w:val="20"/>
                <w:szCs w:val="20"/>
              </w:rPr>
            </w:pPr>
          </w:p>
        </w:tc>
      </w:tr>
      <w:tr w14:paraId="58B24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0" w:type="auto"/>
            <w:vMerge w:val="continue"/>
            <w:tcBorders>
              <w:left w:val="single" w:color="auto" w:sz="4" w:space="0"/>
              <w:right w:val="single" w:color="auto" w:sz="4" w:space="0"/>
            </w:tcBorders>
            <w:noWrap w:val="0"/>
            <w:vAlign w:val="center"/>
          </w:tcPr>
          <w:p w14:paraId="33B5B57F">
            <w:pPr>
              <w:widowControl/>
              <w:jc w:val="left"/>
              <w:rPr>
                <w:rFonts w:hint="eastAsia" w:ascii="宋体" w:hAnsi="宋体" w:eastAsia="宋体" w:cs="宋体"/>
                <w:sz w:val="20"/>
                <w:szCs w:val="20"/>
              </w:rPr>
            </w:pPr>
          </w:p>
        </w:tc>
        <w:tc>
          <w:tcPr>
            <w:tcW w:w="0" w:type="auto"/>
            <w:vMerge w:val="continue"/>
            <w:tcBorders>
              <w:left w:val="single" w:color="auto" w:sz="4" w:space="0"/>
              <w:right w:val="single" w:color="auto" w:sz="4" w:space="0"/>
            </w:tcBorders>
            <w:noWrap w:val="0"/>
            <w:vAlign w:val="center"/>
          </w:tcPr>
          <w:p w14:paraId="2213CCCE">
            <w:pPr>
              <w:widowControl/>
              <w:jc w:val="left"/>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524D9E6F">
            <w:pPr>
              <w:rPr>
                <w:rFonts w:hint="eastAsia" w:ascii="宋体" w:hAnsi="宋体" w:eastAsia="宋体" w:cs="宋体"/>
                <w:sz w:val="20"/>
                <w:szCs w:val="20"/>
              </w:rPr>
            </w:pPr>
            <w:r>
              <w:rPr>
                <w:rFonts w:hint="eastAsia" w:ascii="宋体" w:hAnsi="宋体" w:eastAsia="宋体" w:cs="宋体"/>
                <w:sz w:val="20"/>
                <w:szCs w:val="20"/>
              </w:rPr>
              <w:t>各类电源、信号线接线端子状况</w:t>
            </w:r>
          </w:p>
        </w:tc>
        <w:tc>
          <w:tcPr>
            <w:tcW w:w="5941" w:type="dxa"/>
            <w:tcBorders>
              <w:top w:val="single" w:color="auto" w:sz="4" w:space="0"/>
              <w:left w:val="single" w:color="auto" w:sz="4" w:space="0"/>
              <w:bottom w:val="single" w:color="auto" w:sz="4" w:space="0"/>
              <w:right w:val="single" w:color="auto" w:sz="4" w:space="0"/>
            </w:tcBorders>
            <w:noWrap w:val="0"/>
            <w:vAlign w:val="center"/>
          </w:tcPr>
          <w:p w14:paraId="0C902735">
            <w:pPr>
              <w:rPr>
                <w:rFonts w:hint="eastAsia" w:ascii="宋体" w:hAnsi="宋体" w:eastAsia="宋体" w:cs="宋体"/>
                <w:sz w:val="20"/>
                <w:szCs w:val="20"/>
              </w:rPr>
            </w:pPr>
            <w:r>
              <w:rPr>
                <w:rFonts w:hint="eastAsia" w:ascii="宋体" w:hAnsi="宋体" w:eastAsia="宋体" w:cs="宋体"/>
                <w:sz w:val="20"/>
                <w:szCs w:val="20"/>
              </w:rPr>
              <w:t>各类电源、信号线无老化，端子接线牢靠</w:t>
            </w:r>
          </w:p>
        </w:tc>
        <w:tc>
          <w:tcPr>
            <w:tcW w:w="1669" w:type="dxa"/>
            <w:tcBorders>
              <w:top w:val="single" w:color="auto" w:sz="4" w:space="0"/>
              <w:left w:val="single" w:color="auto" w:sz="4" w:space="0"/>
              <w:bottom w:val="single" w:color="auto" w:sz="4" w:space="0"/>
              <w:right w:val="single" w:color="auto" w:sz="4" w:space="0"/>
            </w:tcBorders>
            <w:noWrap w:val="0"/>
            <w:vAlign w:val="center"/>
          </w:tcPr>
          <w:p w14:paraId="57D26F66">
            <w:pPr>
              <w:rPr>
                <w:rFonts w:hint="eastAsia" w:ascii="宋体" w:hAnsi="宋体" w:eastAsia="宋体" w:cs="宋体"/>
                <w:sz w:val="20"/>
                <w:szCs w:val="20"/>
              </w:rPr>
            </w:pPr>
            <w:r>
              <w:rPr>
                <w:rFonts w:hint="eastAsia" w:ascii="宋体" w:hAnsi="宋体" w:eastAsia="宋体" w:cs="宋体"/>
                <w:sz w:val="20"/>
                <w:szCs w:val="20"/>
              </w:rPr>
              <w:t>线老化、端子接线不牢每一处扣0.05分</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20FFB2E1">
            <w:pPr>
              <w:jc w:val="center"/>
              <w:rPr>
                <w:rFonts w:hint="eastAsia" w:ascii="宋体" w:hAnsi="宋体" w:eastAsia="宋体" w:cs="宋体"/>
                <w:sz w:val="20"/>
                <w:szCs w:val="20"/>
              </w:rPr>
            </w:pPr>
          </w:p>
        </w:tc>
        <w:tc>
          <w:tcPr>
            <w:tcW w:w="808" w:type="dxa"/>
            <w:tcBorders>
              <w:top w:val="single" w:color="auto" w:sz="4" w:space="0"/>
              <w:left w:val="single" w:color="auto" w:sz="4" w:space="0"/>
              <w:bottom w:val="single" w:color="auto" w:sz="4" w:space="0"/>
              <w:right w:val="single" w:color="auto" w:sz="4" w:space="0"/>
            </w:tcBorders>
            <w:noWrap w:val="0"/>
            <w:vAlign w:val="center"/>
          </w:tcPr>
          <w:p w14:paraId="44375D5A">
            <w:pPr>
              <w:jc w:val="center"/>
              <w:rPr>
                <w:rFonts w:hint="eastAsia" w:ascii="宋体" w:hAnsi="宋体" w:eastAsia="宋体" w:cs="宋体"/>
                <w:b/>
                <w:sz w:val="20"/>
                <w:szCs w:val="20"/>
              </w:rPr>
            </w:pPr>
          </w:p>
        </w:tc>
        <w:tc>
          <w:tcPr>
            <w:tcW w:w="563" w:type="dxa"/>
            <w:tcBorders>
              <w:top w:val="single" w:color="auto" w:sz="4" w:space="0"/>
              <w:left w:val="single" w:color="auto" w:sz="4" w:space="0"/>
              <w:bottom w:val="single" w:color="auto" w:sz="4" w:space="0"/>
              <w:right w:val="single" w:color="auto" w:sz="4" w:space="0"/>
            </w:tcBorders>
            <w:noWrap w:val="0"/>
            <w:vAlign w:val="center"/>
          </w:tcPr>
          <w:p w14:paraId="63397C90">
            <w:pPr>
              <w:jc w:val="center"/>
              <w:rPr>
                <w:rFonts w:hint="eastAsia" w:ascii="宋体" w:hAnsi="宋体" w:eastAsia="宋体" w:cs="宋体"/>
                <w:sz w:val="20"/>
                <w:szCs w:val="20"/>
              </w:rPr>
            </w:pPr>
            <w:r>
              <w:rPr>
                <w:rFonts w:hint="eastAsia" w:ascii="宋体" w:hAnsi="宋体" w:eastAsia="宋体" w:cs="宋体"/>
                <w:b/>
                <w:sz w:val="20"/>
                <w:szCs w:val="20"/>
              </w:rPr>
              <w:t>ⅴ</w:t>
            </w:r>
          </w:p>
        </w:tc>
      </w:tr>
      <w:tr w14:paraId="387EA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0" w:type="auto"/>
            <w:vMerge w:val="continue"/>
            <w:tcBorders>
              <w:left w:val="single" w:color="auto" w:sz="4" w:space="0"/>
              <w:right w:val="single" w:color="auto" w:sz="4" w:space="0"/>
            </w:tcBorders>
            <w:noWrap w:val="0"/>
            <w:vAlign w:val="center"/>
          </w:tcPr>
          <w:p w14:paraId="38DAD69D">
            <w:pPr>
              <w:widowControl/>
              <w:jc w:val="left"/>
              <w:rPr>
                <w:rFonts w:hint="eastAsia" w:ascii="宋体" w:hAnsi="宋体" w:eastAsia="宋体" w:cs="宋体"/>
                <w:sz w:val="20"/>
                <w:szCs w:val="20"/>
              </w:rPr>
            </w:pPr>
          </w:p>
        </w:tc>
        <w:tc>
          <w:tcPr>
            <w:tcW w:w="0" w:type="auto"/>
            <w:vMerge w:val="continue"/>
            <w:tcBorders>
              <w:left w:val="single" w:color="auto" w:sz="4" w:space="0"/>
              <w:bottom w:val="single" w:color="auto" w:sz="4" w:space="0"/>
              <w:right w:val="single" w:color="auto" w:sz="4" w:space="0"/>
            </w:tcBorders>
            <w:noWrap w:val="0"/>
            <w:vAlign w:val="center"/>
          </w:tcPr>
          <w:p w14:paraId="0A0B9BE2">
            <w:pPr>
              <w:widowControl/>
              <w:jc w:val="left"/>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EC41D31">
            <w:pPr>
              <w:rPr>
                <w:rFonts w:hint="eastAsia" w:ascii="宋体" w:hAnsi="宋体" w:eastAsia="宋体" w:cs="宋体"/>
                <w:sz w:val="20"/>
                <w:szCs w:val="20"/>
              </w:rPr>
            </w:pPr>
            <w:r>
              <w:rPr>
                <w:rFonts w:hint="eastAsia" w:ascii="宋体" w:hAnsi="宋体" w:eastAsia="宋体" w:cs="宋体"/>
                <w:sz w:val="20"/>
                <w:szCs w:val="20"/>
              </w:rPr>
              <w:t>火灾自动报警控制器内、外除尘</w:t>
            </w:r>
          </w:p>
        </w:tc>
        <w:tc>
          <w:tcPr>
            <w:tcW w:w="5941" w:type="dxa"/>
            <w:tcBorders>
              <w:top w:val="single" w:color="auto" w:sz="4" w:space="0"/>
              <w:left w:val="single" w:color="auto" w:sz="4" w:space="0"/>
              <w:bottom w:val="single" w:color="auto" w:sz="4" w:space="0"/>
              <w:right w:val="single" w:color="auto" w:sz="4" w:space="0"/>
            </w:tcBorders>
            <w:noWrap w:val="0"/>
            <w:vAlign w:val="center"/>
          </w:tcPr>
          <w:p w14:paraId="5C469D14">
            <w:pPr>
              <w:rPr>
                <w:rFonts w:hint="eastAsia" w:ascii="宋体" w:hAnsi="宋体" w:eastAsia="宋体" w:cs="宋体"/>
                <w:sz w:val="20"/>
                <w:szCs w:val="20"/>
              </w:rPr>
            </w:pPr>
            <w:r>
              <w:rPr>
                <w:rFonts w:hint="eastAsia" w:ascii="宋体" w:hAnsi="宋体" w:eastAsia="宋体" w:cs="宋体"/>
                <w:sz w:val="20"/>
                <w:szCs w:val="20"/>
              </w:rPr>
              <w:t>要求控制器内、外无尘，表面光洁</w:t>
            </w:r>
          </w:p>
        </w:tc>
        <w:tc>
          <w:tcPr>
            <w:tcW w:w="1669" w:type="dxa"/>
            <w:tcBorders>
              <w:top w:val="single" w:color="auto" w:sz="4" w:space="0"/>
              <w:left w:val="single" w:color="auto" w:sz="4" w:space="0"/>
              <w:bottom w:val="single" w:color="auto" w:sz="4" w:space="0"/>
              <w:right w:val="single" w:color="auto" w:sz="4" w:space="0"/>
            </w:tcBorders>
            <w:noWrap w:val="0"/>
            <w:vAlign w:val="center"/>
          </w:tcPr>
          <w:p w14:paraId="277434C0">
            <w:pPr>
              <w:rPr>
                <w:rFonts w:hint="eastAsia" w:ascii="宋体" w:hAnsi="宋体" w:eastAsia="宋体" w:cs="宋体"/>
                <w:sz w:val="20"/>
                <w:szCs w:val="20"/>
              </w:rPr>
            </w:pPr>
            <w:r>
              <w:rPr>
                <w:rFonts w:hint="eastAsia" w:ascii="宋体" w:hAnsi="宋体" w:eastAsia="宋体" w:cs="宋体"/>
                <w:sz w:val="20"/>
                <w:szCs w:val="20"/>
              </w:rPr>
              <w:t>不清洁每一处扣0.05分</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238167FF">
            <w:pPr>
              <w:jc w:val="center"/>
              <w:rPr>
                <w:rFonts w:hint="eastAsia" w:ascii="宋体" w:hAnsi="宋体" w:eastAsia="宋体" w:cs="宋体"/>
                <w:sz w:val="20"/>
                <w:szCs w:val="20"/>
              </w:rPr>
            </w:pPr>
          </w:p>
        </w:tc>
        <w:tc>
          <w:tcPr>
            <w:tcW w:w="808" w:type="dxa"/>
            <w:tcBorders>
              <w:top w:val="single" w:color="auto" w:sz="4" w:space="0"/>
              <w:left w:val="single" w:color="auto" w:sz="4" w:space="0"/>
              <w:bottom w:val="single" w:color="auto" w:sz="4" w:space="0"/>
              <w:right w:val="single" w:color="auto" w:sz="4" w:space="0"/>
            </w:tcBorders>
            <w:noWrap w:val="0"/>
            <w:vAlign w:val="center"/>
          </w:tcPr>
          <w:p w14:paraId="1845E094">
            <w:pPr>
              <w:jc w:val="center"/>
              <w:rPr>
                <w:rFonts w:hint="eastAsia" w:ascii="宋体" w:hAnsi="宋体" w:eastAsia="宋体" w:cs="宋体"/>
                <w:b/>
                <w:sz w:val="20"/>
                <w:szCs w:val="20"/>
              </w:rPr>
            </w:pPr>
            <w:r>
              <w:rPr>
                <w:rFonts w:hint="eastAsia" w:ascii="宋体" w:hAnsi="宋体" w:eastAsia="宋体" w:cs="宋体"/>
                <w:b/>
                <w:sz w:val="20"/>
                <w:szCs w:val="20"/>
              </w:rPr>
              <w:t>ⅴ</w:t>
            </w:r>
          </w:p>
        </w:tc>
        <w:tc>
          <w:tcPr>
            <w:tcW w:w="563" w:type="dxa"/>
            <w:tcBorders>
              <w:top w:val="single" w:color="auto" w:sz="4" w:space="0"/>
              <w:left w:val="single" w:color="auto" w:sz="4" w:space="0"/>
              <w:bottom w:val="single" w:color="auto" w:sz="4" w:space="0"/>
              <w:right w:val="single" w:color="auto" w:sz="4" w:space="0"/>
            </w:tcBorders>
            <w:noWrap w:val="0"/>
            <w:vAlign w:val="center"/>
          </w:tcPr>
          <w:p w14:paraId="633A8D5C">
            <w:pPr>
              <w:jc w:val="center"/>
              <w:rPr>
                <w:rFonts w:hint="eastAsia" w:ascii="宋体" w:hAnsi="宋体" w:eastAsia="宋体" w:cs="宋体"/>
                <w:sz w:val="20"/>
                <w:szCs w:val="20"/>
              </w:rPr>
            </w:pPr>
          </w:p>
        </w:tc>
      </w:tr>
      <w:tr w14:paraId="28E05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0" w:type="auto"/>
            <w:vMerge w:val="continue"/>
            <w:tcBorders>
              <w:left w:val="single" w:color="auto" w:sz="4" w:space="0"/>
              <w:right w:val="single" w:color="auto" w:sz="4" w:space="0"/>
            </w:tcBorders>
            <w:noWrap w:val="0"/>
            <w:vAlign w:val="center"/>
          </w:tcPr>
          <w:p w14:paraId="6EEECA38">
            <w:pPr>
              <w:widowControl/>
              <w:jc w:val="left"/>
              <w:rPr>
                <w:rFonts w:hint="eastAsia" w:ascii="宋体" w:hAnsi="宋体" w:eastAsia="宋体" w:cs="宋体"/>
                <w:sz w:val="20"/>
                <w:szCs w:val="20"/>
              </w:rPr>
            </w:pPr>
          </w:p>
        </w:tc>
        <w:tc>
          <w:tcPr>
            <w:tcW w:w="0" w:type="auto"/>
            <w:vMerge w:val="restart"/>
            <w:tcBorders>
              <w:top w:val="single" w:color="auto" w:sz="4" w:space="0"/>
              <w:left w:val="single" w:color="auto" w:sz="4" w:space="0"/>
              <w:right w:val="single" w:color="auto" w:sz="4" w:space="0"/>
            </w:tcBorders>
            <w:noWrap w:val="0"/>
            <w:textDirection w:val="tbRlV"/>
            <w:vAlign w:val="center"/>
          </w:tcPr>
          <w:p w14:paraId="7DEB44F2">
            <w:pPr>
              <w:widowControl/>
              <w:ind w:left="113" w:right="113"/>
              <w:jc w:val="center"/>
              <w:rPr>
                <w:rFonts w:hint="eastAsia" w:ascii="宋体" w:hAnsi="宋体" w:eastAsia="宋体" w:cs="宋体"/>
                <w:sz w:val="20"/>
                <w:szCs w:val="20"/>
              </w:rPr>
            </w:pPr>
            <w:r>
              <w:rPr>
                <w:rFonts w:hint="eastAsia" w:ascii="宋体" w:hAnsi="宋体" w:eastAsia="宋体" w:cs="宋体"/>
                <w:sz w:val="20"/>
                <w:szCs w:val="20"/>
              </w:rPr>
              <w:t>系统打印机</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63D5110">
            <w:pPr>
              <w:rPr>
                <w:rFonts w:hint="eastAsia" w:ascii="宋体" w:hAnsi="宋体" w:eastAsia="宋体" w:cs="宋体"/>
                <w:sz w:val="20"/>
                <w:szCs w:val="20"/>
              </w:rPr>
            </w:pPr>
            <w:r>
              <w:rPr>
                <w:rFonts w:hint="eastAsia" w:ascii="宋体" w:hAnsi="宋体" w:eastAsia="宋体" w:cs="宋体"/>
                <w:sz w:val="20"/>
                <w:szCs w:val="20"/>
              </w:rPr>
              <w:t>打印机的使用环境</w:t>
            </w:r>
          </w:p>
        </w:tc>
        <w:tc>
          <w:tcPr>
            <w:tcW w:w="5941" w:type="dxa"/>
            <w:tcBorders>
              <w:top w:val="single" w:color="auto" w:sz="4" w:space="0"/>
              <w:left w:val="single" w:color="auto" w:sz="4" w:space="0"/>
              <w:bottom w:val="single" w:color="auto" w:sz="4" w:space="0"/>
              <w:right w:val="single" w:color="auto" w:sz="4" w:space="0"/>
            </w:tcBorders>
            <w:noWrap w:val="0"/>
            <w:vAlign w:val="top"/>
          </w:tcPr>
          <w:p w14:paraId="6A04B72D">
            <w:pPr>
              <w:rPr>
                <w:rFonts w:hint="eastAsia" w:ascii="宋体" w:hAnsi="宋体" w:eastAsia="宋体" w:cs="宋体"/>
                <w:sz w:val="20"/>
                <w:szCs w:val="20"/>
              </w:rPr>
            </w:pPr>
            <w:r>
              <w:rPr>
                <w:rFonts w:hint="eastAsia" w:ascii="宋体" w:hAnsi="宋体" w:eastAsia="宋体" w:cs="宋体"/>
                <w:sz w:val="20"/>
                <w:szCs w:val="20"/>
              </w:rPr>
              <w:t>不能在有铁、钴、镍粉和灰尘及磁场的环境下使用打印机</w:t>
            </w:r>
          </w:p>
        </w:tc>
        <w:tc>
          <w:tcPr>
            <w:tcW w:w="1669" w:type="dxa"/>
            <w:tcBorders>
              <w:top w:val="single" w:color="auto" w:sz="4" w:space="0"/>
              <w:left w:val="single" w:color="auto" w:sz="4" w:space="0"/>
              <w:bottom w:val="single" w:color="auto" w:sz="4" w:space="0"/>
              <w:right w:val="single" w:color="auto" w:sz="4" w:space="0"/>
            </w:tcBorders>
            <w:noWrap w:val="0"/>
            <w:vAlign w:val="center"/>
          </w:tcPr>
          <w:p w14:paraId="43D0D753">
            <w:pPr>
              <w:rPr>
                <w:rFonts w:hint="eastAsia" w:ascii="宋体" w:hAnsi="宋体" w:eastAsia="宋体" w:cs="宋体"/>
                <w:sz w:val="20"/>
                <w:szCs w:val="20"/>
              </w:rPr>
            </w:pPr>
          </w:p>
        </w:tc>
        <w:tc>
          <w:tcPr>
            <w:tcW w:w="2053" w:type="dxa"/>
            <w:gridSpan w:val="3"/>
            <w:tcBorders>
              <w:top w:val="single" w:color="auto" w:sz="4" w:space="0"/>
              <w:left w:val="single" w:color="auto" w:sz="4" w:space="0"/>
              <w:bottom w:val="single" w:color="auto" w:sz="4" w:space="0"/>
              <w:right w:val="single" w:color="auto" w:sz="4" w:space="0"/>
            </w:tcBorders>
            <w:noWrap w:val="0"/>
            <w:vAlign w:val="center"/>
          </w:tcPr>
          <w:p w14:paraId="1C74938A">
            <w:pPr>
              <w:jc w:val="center"/>
              <w:rPr>
                <w:rFonts w:hint="eastAsia" w:ascii="宋体" w:hAnsi="宋体" w:eastAsia="宋体" w:cs="宋体"/>
                <w:sz w:val="20"/>
                <w:szCs w:val="20"/>
              </w:rPr>
            </w:pPr>
            <w:r>
              <w:rPr>
                <w:rFonts w:hint="eastAsia" w:ascii="宋体" w:hAnsi="宋体" w:eastAsia="宋体" w:cs="宋体"/>
                <w:sz w:val="20"/>
                <w:szCs w:val="20"/>
              </w:rPr>
              <w:t>使用时注意</w:t>
            </w:r>
          </w:p>
        </w:tc>
      </w:tr>
      <w:tr w14:paraId="527E0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1" w:hRule="atLeast"/>
          <w:jc w:val="center"/>
        </w:trPr>
        <w:tc>
          <w:tcPr>
            <w:tcW w:w="0" w:type="auto"/>
            <w:vMerge w:val="continue"/>
            <w:tcBorders>
              <w:left w:val="single" w:color="auto" w:sz="4" w:space="0"/>
              <w:bottom w:val="single" w:color="auto" w:sz="4" w:space="0"/>
              <w:right w:val="single" w:color="auto" w:sz="4" w:space="0"/>
            </w:tcBorders>
            <w:noWrap w:val="0"/>
            <w:vAlign w:val="center"/>
          </w:tcPr>
          <w:p w14:paraId="2EEBE1E8">
            <w:pPr>
              <w:widowControl/>
              <w:jc w:val="left"/>
              <w:rPr>
                <w:rFonts w:hint="eastAsia" w:ascii="宋体" w:hAnsi="宋体" w:eastAsia="宋体" w:cs="宋体"/>
                <w:sz w:val="20"/>
                <w:szCs w:val="20"/>
              </w:rPr>
            </w:pPr>
          </w:p>
        </w:tc>
        <w:tc>
          <w:tcPr>
            <w:tcW w:w="0" w:type="auto"/>
            <w:vMerge w:val="continue"/>
            <w:tcBorders>
              <w:left w:val="single" w:color="auto" w:sz="4" w:space="0"/>
              <w:bottom w:val="single" w:color="auto" w:sz="4" w:space="0"/>
              <w:right w:val="single" w:color="auto" w:sz="4" w:space="0"/>
            </w:tcBorders>
            <w:noWrap w:val="0"/>
            <w:vAlign w:val="center"/>
          </w:tcPr>
          <w:p w14:paraId="7099B7CC">
            <w:pPr>
              <w:widowControl/>
              <w:jc w:val="left"/>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BD2FAC0">
            <w:pPr>
              <w:rPr>
                <w:rFonts w:hint="eastAsia" w:ascii="宋体" w:hAnsi="宋体" w:eastAsia="宋体" w:cs="宋体"/>
                <w:sz w:val="20"/>
                <w:szCs w:val="20"/>
              </w:rPr>
            </w:pPr>
            <w:r>
              <w:rPr>
                <w:rFonts w:hint="eastAsia" w:ascii="宋体" w:hAnsi="宋体" w:eastAsia="宋体" w:cs="宋体"/>
                <w:sz w:val="20"/>
                <w:szCs w:val="20"/>
              </w:rPr>
              <w:t>打印机使用要求</w:t>
            </w:r>
          </w:p>
        </w:tc>
        <w:tc>
          <w:tcPr>
            <w:tcW w:w="5941" w:type="dxa"/>
            <w:tcBorders>
              <w:top w:val="single" w:color="auto" w:sz="4" w:space="0"/>
              <w:left w:val="single" w:color="auto" w:sz="4" w:space="0"/>
              <w:bottom w:val="single" w:color="auto" w:sz="4" w:space="0"/>
              <w:right w:val="single" w:color="auto" w:sz="4" w:space="0"/>
            </w:tcBorders>
            <w:noWrap w:val="0"/>
            <w:vAlign w:val="center"/>
          </w:tcPr>
          <w:p w14:paraId="59C50048">
            <w:pPr>
              <w:rPr>
                <w:rFonts w:hint="eastAsia" w:ascii="宋体" w:hAnsi="宋体" w:eastAsia="宋体" w:cs="宋体"/>
                <w:sz w:val="20"/>
                <w:szCs w:val="20"/>
              </w:rPr>
            </w:pPr>
            <w:r>
              <w:rPr>
                <w:rFonts w:hint="eastAsia" w:ascii="宋体" w:hAnsi="宋体" w:eastAsia="宋体" w:cs="宋体"/>
                <w:sz w:val="20"/>
                <w:szCs w:val="20"/>
              </w:rPr>
              <w:t>在无打印纸的状态下不能进行打印操作；使用指定的打印纸，并且选用打印纸末端没有与芯卷粘合的打印纸。更换打印纸时，确认打印机处于停止状态</w:t>
            </w:r>
          </w:p>
        </w:tc>
        <w:tc>
          <w:tcPr>
            <w:tcW w:w="1669" w:type="dxa"/>
            <w:tcBorders>
              <w:top w:val="single" w:color="auto" w:sz="4" w:space="0"/>
              <w:left w:val="single" w:color="auto" w:sz="4" w:space="0"/>
              <w:bottom w:val="single" w:color="auto" w:sz="4" w:space="0"/>
              <w:right w:val="single" w:color="auto" w:sz="4" w:space="0"/>
            </w:tcBorders>
            <w:noWrap w:val="0"/>
            <w:vAlign w:val="center"/>
          </w:tcPr>
          <w:p w14:paraId="4C149E9F">
            <w:pPr>
              <w:rPr>
                <w:rFonts w:hint="eastAsia" w:ascii="宋体" w:hAnsi="宋体" w:eastAsia="宋体" w:cs="宋体"/>
                <w:sz w:val="20"/>
                <w:szCs w:val="20"/>
              </w:rPr>
            </w:pPr>
          </w:p>
        </w:tc>
        <w:tc>
          <w:tcPr>
            <w:tcW w:w="2053" w:type="dxa"/>
            <w:gridSpan w:val="3"/>
            <w:tcBorders>
              <w:top w:val="single" w:color="auto" w:sz="4" w:space="0"/>
              <w:left w:val="single" w:color="auto" w:sz="4" w:space="0"/>
              <w:bottom w:val="single" w:color="auto" w:sz="4" w:space="0"/>
              <w:right w:val="single" w:color="auto" w:sz="4" w:space="0"/>
            </w:tcBorders>
            <w:noWrap w:val="0"/>
            <w:vAlign w:val="center"/>
          </w:tcPr>
          <w:p w14:paraId="42837103">
            <w:pPr>
              <w:jc w:val="center"/>
              <w:rPr>
                <w:rFonts w:hint="eastAsia" w:ascii="宋体" w:hAnsi="宋体" w:eastAsia="宋体" w:cs="宋体"/>
                <w:sz w:val="20"/>
                <w:szCs w:val="20"/>
              </w:rPr>
            </w:pPr>
            <w:r>
              <w:rPr>
                <w:rFonts w:hint="eastAsia" w:ascii="宋体" w:hAnsi="宋体" w:eastAsia="宋体" w:cs="宋体"/>
                <w:sz w:val="20"/>
                <w:szCs w:val="20"/>
              </w:rPr>
              <w:t>使用时注意</w:t>
            </w:r>
          </w:p>
        </w:tc>
      </w:tr>
      <w:tr w14:paraId="15A4C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0" w:type="auto"/>
            <w:gridSpan w:val="2"/>
            <w:vMerge w:val="restart"/>
            <w:tcBorders>
              <w:top w:val="single" w:color="auto" w:sz="4" w:space="0"/>
              <w:left w:val="single" w:color="auto" w:sz="4" w:space="0"/>
              <w:bottom w:val="single" w:color="auto" w:sz="4" w:space="0"/>
              <w:right w:val="single" w:color="auto" w:sz="4" w:space="0"/>
              <w:tl2br w:val="single" w:color="auto" w:sz="4" w:space="0"/>
            </w:tcBorders>
            <w:noWrap w:val="0"/>
            <w:vAlign w:val="top"/>
          </w:tcPr>
          <w:p w14:paraId="7EE873C8">
            <w:pPr>
              <w:jc w:val="center"/>
              <w:rPr>
                <w:rFonts w:hint="eastAsia" w:ascii="宋体" w:hAnsi="宋体" w:eastAsia="宋体" w:cs="宋体"/>
                <w:sz w:val="20"/>
                <w:szCs w:val="20"/>
              </w:rPr>
            </w:pPr>
            <w:r>
              <w:rPr>
                <w:rFonts w:hint="eastAsia" w:ascii="宋体" w:hAnsi="宋体" w:eastAsia="宋体" w:cs="宋体"/>
                <w:sz w:val="20"/>
                <w:szCs w:val="20"/>
              </w:rPr>
              <w:t xml:space="preserve">       分项要求</w:t>
            </w:r>
          </w:p>
          <w:p w14:paraId="6930B4C6">
            <w:pPr>
              <w:rPr>
                <w:rFonts w:hint="eastAsia" w:ascii="宋体" w:hAnsi="宋体" w:eastAsia="宋体" w:cs="宋体"/>
                <w:sz w:val="20"/>
                <w:szCs w:val="20"/>
              </w:rPr>
            </w:pPr>
            <w:r>
              <w:rPr>
                <w:rFonts w:hint="eastAsia" w:ascii="宋体" w:hAnsi="宋体" w:eastAsia="宋体" w:cs="宋体"/>
                <w:sz w:val="20"/>
                <w:szCs w:val="20"/>
              </w:rPr>
              <w:t>系统分类</w:t>
            </w:r>
          </w:p>
        </w:tc>
        <w:tc>
          <w:tcPr>
            <w:tcW w:w="0" w:type="auto"/>
            <w:vMerge w:val="restart"/>
            <w:tcBorders>
              <w:top w:val="single" w:color="auto" w:sz="4" w:space="0"/>
              <w:left w:val="single" w:color="auto" w:sz="4" w:space="0"/>
              <w:bottom w:val="single" w:color="auto" w:sz="4" w:space="0"/>
              <w:right w:val="single" w:color="auto" w:sz="4" w:space="0"/>
            </w:tcBorders>
            <w:noWrap w:val="0"/>
            <w:vAlign w:val="center"/>
          </w:tcPr>
          <w:p w14:paraId="20FC8655">
            <w:pPr>
              <w:jc w:val="center"/>
              <w:rPr>
                <w:rFonts w:hint="eastAsia" w:ascii="宋体" w:hAnsi="宋体" w:eastAsia="宋体" w:cs="宋体"/>
                <w:sz w:val="20"/>
                <w:szCs w:val="20"/>
              </w:rPr>
            </w:pPr>
            <w:r>
              <w:rPr>
                <w:rFonts w:hint="eastAsia" w:ascii="宋体" w:hAnsi="宋体" w:eastAsia="宋体" w:cs="宋体"/>
                <w:sz w:val="20"/>
                <w:szCs w:val="20"/>
              </w:rPr>
              <w:t>维护保养项目</w:t>
            </w:r>
          </w:p>
        </w:tc>
        <w:tc>
          <w:tcPr>
            <w:tcW w:w="5941" w:type="dxa"/>
            <w:vMerge w:val="restart"/>
            <w:tcBorders>
              <w:top w:val="single" w:color="auto" w:sz="4" w:space="0"/>
              <w:left w:val="single" w:color="auto" w:sz="4" w:space="0"/>
              <w:bottom w:val="single" w:color="auto" w:sz="4" w:space="0"/>
              <w:right w:val="single" w:color="auto" w:sz="4" w:space="0"/>
            </w:tcBorders>
            <w:noWrap w:val="0"/>
            <w:vAlign w:val="center"/>
          </w:tcPr>
          <w:p w14:paraId="4099D1B4">
            <w:pPr>
              <w:jc w:val="center"/>
              <w:rPr>
                <w:rFonts w:hint="eastAsia" w:ascii="宋体" w:hAnsi="宋体" w:eastAsia="宋体" w:cs="宋体"/>
                <w:sz w:val="20"/>
                <w:szCs w:val="20"/>
              </w:rPr>
            </w:pPr>
            <w:r>
              <w:rPr>
                <w:rFonts w:hint="eastAsia" w:ascii="宋体" w:hAnsi="宋体" w:eastAsia="宋体" w:cs="宋体"/>
                <w:sz w:val="20"/>
                <w:szCs w:val="20"/>
              </w:rPr>
              <w:t>合格标准</w:t>
            </w:r>
          </w:p>
        </w:tc>
        <w:tc>
          <w:tcPr>
            <w:tcW w:w="1669" w:type="dxa"/>
            <w:vMerge w:val="restart"/>
            <w:tcBorders>
              <w:top w:val="single" w:color="auto" w:sz="4" w:space="0"/>
              <w:left w:val="single" w:color="auto" w:sz="4" w:space="0"/>
              <w:bottom w:val="single" w:color="auto" w:sz="4" w:space="0"/>
              <w:right w:val="single" w:color="auto" w:sz="4" w:space="0"/>
            </w:tcBorders>
            <w:noWrap w:val="0"/>
            <w:vAlign w:val="center"/>
          </w:tcPr>
          <w:p w14:paraId="4A164CC1">
            <w:pPr>
              <w:jc w:val="center"/>
              <w:rPr>
                <w:rFonts w:hint="eastAsia" w:ascii="宋体" w:hAnsi="宋体" w:eastAsia="宋体" w:cs="宋体"/>
                <w:sz w:val="20"/>
                <w:szCs w:val="20"/>
              </w:rPr>
            </w:pPr>
            <w:r>
              <w:rPr>
                <w:rFonts w:hint="eastAsia" w:ascii="宋体" w:hAnsi="宋体" w:eastAsia="宋体" w:cs="宋体"/>
                <w:sz w:val="20"/>
                <w:szCs w:val="20"/>
              </w:rPr>
              <w:t>扣分标准（参考）</w:t>
            </w:r>
          </w:p>
        </w:tc>
        <w:tc>
          <w:tcPr>
            <w:tcW w:w="2053" w:type="dxa"/>
            <w:gridSpan w:val="3"/>
            <w:tcBorders>
              <w:top w:val="single" w:color="auto" w:sz="4" w:space="0"/>
              <w:left w:val="single" w:color="auto" w:sz="4" w:space="0"/>
              <w:bottom w:val="single" w:color="auto" w:sz="4" w:space="0"/>
              <w:right w:val="single" w:color="auto" w:sz="4" w:space="0"/>
            </w:tcBorders>
            <w:noWrap w:val="0"/>
            <w:vAlign w:val="center"/>
          </w:tcPr>
          <w:p w14:paraId="5C2AA21A">
            <w:pPr>
              <w:jc w:val="center"/>
              <w:rPr>
                <w:rFonts w:hint="eastAsia" w:ascii="宋体" w:hAnsi="宋体" w:eastAsia="宋体" w:cs="宋体"/>
                <w:sz w:val="20"/>
                <w:szCs w:val="20"/>
              </w:rPr>
            </w:pPr>
            <w:r>
              <w:rPr>
                <w:rFonts w:hint="eastAsia" w:ascii="宋体" w:hAnsi="宋体" w:eastAsia="宋体" w:cs="宋体"/>
                <w:sz w:val="20"/>
                <w:szCs w:val="20"/>
              </w:rPr>
              <w:t>工 作 频 次</w:t>
            </w:r>
          </w:p>
        </w:tc>
      </w:tr>
      <w:tr w14:paraId="6CBC5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0" w:type="auto"/>
            <w:gridSpan w:val="2"/>
            <w:vMerge w:val="continue"/>
            <w:tcBorders>
              <w:top w:val="single" w:color="auto" w:sz="4" w:space="0"/>
              <w:left w:val="single" w:color="auto" w:sz="4" w:space="0"/>
              <w:bottom w:val="single" w:color="auto" w:sz="4" w:space="0"/>
              <w:right w:val="single" w:color="auto" w:sz="4" w:space="0"/>
              <w:tl2br w:val="single" w:color="auto" w:sz="4" w:space="0"/>
            </w:tcBorders>
            <w:noWrap w:val="0"/>
            <w:vAlign w:val="center"/>
          </w:tcPr>
          <w:p w14:paraId="0F898607">
            <w:pPr>
              <w:widowControl/>
              <w:jc w:val="left"/>
              <w:rPr>
                <w:rFonts w:hint="eastAsia" w:ascii="宋体" w:hAnsi="宋体" w:eastAsia="宋体" w:cs="宋体"/>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A9B05A4">
            <w:pPr>
              <w:widowControl/>
              <w:jc w:val="left"/>
              <w:rPr>
                <w:rFonts w:hint="eastAsia" w:ascii="宋体" w:hAnsi="宋体" w:eastAsia="宋体" w:cs="宋体"/>
                <w:sz w:val="20"/>
                <w:szCs w:val="20"/>
              </w:rPr>
            </w:pPr>
          </w:p>
        </w:tc>
        <w:tc>
          <w:tcPr>
            <w:tcW w:w="5941" w:type="dxa"/>
            <w:vMerge w:val="continue"/>
            <w:tcBorders>
              <w:top w:val="single" w:color="auto" w:sz="4" w:space="0"/>
              <w:left w:val="single" w:color="auto" w:sz="4" w:space="0"/>
              <w:bottom w:val="single" w:color="auto" w:sz="4" w:space="0"/>
              <w:right w:val="single" w:color="auto" w:sz="4" w:space="0"/>
            </w:tcBorders>
            <w:noWrap w:val="0"/>
            <w:vAlign w:val="center"/>
          </w:tcPr>
          <w:p w14:paraId="7D1410DA">
            <w:pPr>
              <w:widowControl/>
              <w:jc w:val="left"/>
              <w:rPr>
                <w:rFonts w:hint="eastAsia" w:ascii="宋体" w:hAnsi="宋体" w:eastAsia="宋体" w:cs="宋体"/>
                <w:sz w:val="20"/>
                <w:szCs w:val="20"/>
              </w:rPr>
            </w:pPr>
          </w:p>
        </w:tc>
        <w:tc>
          <w:tcPr>
            <w:tcW w:w="1669" w:type="dxa"/>
            <w:vMerge w:val="continue"/>
            <w:tcBorders>
              <w:top w:val="single" w:color="auto" w:sz="4" w:space="0"/>
              <w:left w:val="single" w:color="auto" w:sz="4" w:space="0"/>
              <w:bottom w:val="single" w:color="auto" w:sz="4" w:space="0"/>
              <w:right w:val="single" w:color="auto" w:sz="4" w:space="0"/>
            </w:tcBorders>
            <w:noWrap w:val="0"/>
            <w:vAlign w:val="center"/>
          </w:tcPr>
          <w:p w14:paraId="154F84D7">
            <w:pPr>
              <w:widowControl/>
              <w:jc w:val="left"/>
              <w:rPr>
                <w:rFonts w:hint="eastAsia" w:ascii="宋体" w:hAnsi="宋体" w:eastAsia="宋体" w:cs="宋体"/>
                <w:sz w:val="20"/>
                <w:szCs w:val="20"/>
              </w:rPr>
            </w:pPr>
          </w:p>
        </w:tc>
        <w:tc>
          <w:tcPr>
            <w:tcW w:w="682" w:type="dxa"/>
            <w:tcBorders>
              <w:top w:val="single" w:color="auto" w:sz="4" w:space="0"/>
              <w:left w:val="single" w:color="auto" w:sz="4" w:space="0"/>
              <w:bottom w:val="single" w:color="auto" w:sz="4" w:space="0"/>
              <w:right w:val="single" w:color="auto" w:sz="4" w:space="0"/>
            </w:tcBorders>
            <w:noWrap w:val="0"/>
            <w:vAlign w:val="center"/>
          </w:tcPr>
          <w:p w14:paraId="4A111660">
            <w:pPr>
              <w:jc w:val="center"/>
              <w:rPr>
                <w:rFonts w:hint="eastAsia" w:ascii="宋体" w:hAnsi="宋体" w:eastAsia="宋体" w:cs="宋体"/>
                <w:sz w:val="20"/>
                <w:szCs w:val="20"/>
              </w:rPr>
            </w:pPr>
            <w:r>
              <w:rPr>
                <w:rFonts w:hint="eastAsia" w:ascii="宋体" w:hAnsi="宋体" w:eastAsia="宋体" w:cs="宋体"/>
                <w:sz w:val="20"/>
                <w:szCs w:val="20"/>
              </w:rPr>
              <w:t>周</w:t>
            </w:r>
          </w:p>
        </w:tc>
        <w:tc>
          <w:tcPr>
            <w:tcW w:w="808" w:type="dxa"/>
            <w:tcBorders>
              <w:top w:val="single" w:color="auto" w:sz="4" w:space="0"/>
              <w:left w:val="single" w:color="auto" w:sz="4" w:space="0"/>
              <w:bottom w:val="single" w:color="auto" w:sz="4" w:space="0"/>
              <w:right w:val="single" w:color="auto" w:sz="4" w:space="0"/>
            </w:tcBorders>
            <w:noWrap w:val="0"/>
            <w:vAlign w:val="center"/>
          </w:tcPr>
          <w:p w14:paraId="70AE3D50">
            <w:pPr>
              <w:jc w:val="center"/>
              <w:rPr>
                <w:rFonts w:hint="eastAsia" w:ascii="宋体" w:hAnsi="宋体" w:eastAsia="宋体" w:cs="宋体"/>
                <w:sz w:val="20"/>
                <w:szCs w:val="20"/>
              </w:rPr>
            </w:pPr>
            <w:r>
              <w:rPr>
                <w:rFonts w:hint="eastAsia" w:ascii="宋体" w:hAnsi="宋体" w:eastAsia="宋体" w:cs="宋体"/>
                <w:sz w:val="20"/>
                <w:szCs w:val="20"/>
              </w:rPr>
              <w:t>月</w:t>
            </w:r>
          </w:p>
        </w:tc>
        <w:tc>
          <w:tcPr>
            <w:tcW w:w="563" w:type="dxa"/>
            <w:tcBorders>
              <w:top w:val="single" w:color="auto" w:sz="4" w:space="0"/>
              <w:left w:val="single" w:color="auto" w:sz="4" w:space="0"/>
              <w:bottom w:val="single" w:color="auto" w:sz="4" w:space="0"/>
              <w:right w:val="single" w:color="auto" w:sz="4" w:space="0"/>
            </w:tcBorders>
            <w:noWrap w:val="0"/>
            <w:vAlign w:val="center"/>
          </w:tcPr>
          <w:p w14:paraId="71F48C86">
            <w:pPr>
              <w:jc w:val="center"/>
              <w:rPr>
                <w:rFonts w:hint="eastAsia" w:ascii="宋体" w:hAnsi="宋体" w:eastAsia="宋体" w:cs="宋体"/>
                <w:sz w:val="20"/>
                <w:szCs w:val="20"/>
              </w:rPr>
            </w:pPr>
            <w:r>
              <w:rPr>
                <w:rFonts w:hint="eastAsia" w:ascii="宋体" w:hAnsi="宋体" w:eastAsia="宋体" w:cs="宋体"/>
                <w:sz w:val="20"/>
                <w:szCs w:val="20"/>
              </w:rPr>
              <w:t>季</w:t>
            </w:r>
          </w:p>
        </w:tc>
      </w:tr>
      <w:tr w14:paraId="67159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8" w:hRule="atLeast"/>
          <w:jc w:val="center"/>
        </w:trPr>
        <w:tc>
          <w:tcPr>
            <w:tcW w:w="0" w:type="auto"/>
            <w:vMerge w:val="restart"/>
            <w:tcBorders>
              <w:top w:val="single" w:color="auto" w:sz="4" w:space="0"/>
              <w:left w:val="single" w:color="auto" w:sz="4" w:space="0"/>
              <w:right w:val="single" w:color="auto" w:sz="4" w:space="0"/>
            </w:tcBorders>
            <w:noWrap w:val="0"/>
            <w:textDirection w:val="tbRlV"/>
            <w:vAlign w:val="center"/>
          </w:tcPr>
          <w:p w14:paraId="0174B507">
            <w:pPr>
              <w:ind w:left="113" w:right="113"/>
              <w:jc w:val="center"/>
              <w:rPr>
                <w:rFonts w:hint="eastAsia" w:ascii="宋体" w:hAnsi="宋体" w:eastAsia="宋体" w:cs="宋体"/>
                <w:sz w:val="20"/>
                <w:szCs w:val="20"/>
              </w:rPr>
            </w:pPr>
            <w:r>
              <w:rPr>
                <w:rFonts w:hint="eastAsia" w:ascii="宋体" w:hAnsi="宋体" w:eastAsia="宋体" w:cs="宋体"/>
                <w:sz w:val="20"/>
                <w:szCs w:val="20"/>
              </w:rPr>
              <w:t>火灾自动报警系统</w:t>
            </w:r>
          </w:p>
        </w:tc>
        <w:tc>
          <w:tcPr>
            <w:tcW w:w="0" w:type="auto"/>
            <w:tcBorders>
              <w:top w:val="single" w:color="auto" w:sz="4" w:space="0"/>
              <w:left w:val="single" w:color="auto" w:sz="4" w:space="0"/>
              <w:bottom w:val="single" w:color="auto" w:sz="4" w:space="0"/>
              <w:right w:val="single" w:color="auto" w:sz="4" w:space="0"/>
            </w:tcBorders>
            <w:noWrap w:val="0"/>
            <w:textDirection w:val="tbRlV"/>
            <w:vAlign w:val="center"/>
          </w:tcPr>
          <w:p w14:paraId="3BE8F72C">
            <w:pPr>
              <w:ind w:left="113" w:right="113"/>
              <w:rPr>
                <w:rFonts w:hint="eastAsia" w:ascii="宋体" w:hAnsi="宋体" w:eastAsia="宋体" w:cs="宋体"/>
                <w:sz w:val="20"/>
                <w:szCs w:val="20"/>
              </w:rPr>
            </w:pPr>
            <w:r>
              <w:rPr>
                <w:rFonts w:hint="eastAsia" w:ascii="宋体" w:hAnsi="宋体" w:eastAsia="宋体" w:cs="宋体"/>
                <w:sz w:val="20"/>
                <w:szCs w:val="20"/>
              </w:rPr>
              <w:t>手动报警盒</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9E03901">
            <w:pPr>
              <w:rPr>
                <w:rFonts w:hint="eastAsia" w:ascii="宋体" w:hAnsi="宋体" w:eastAsia="宋体" w:cs="宋体"/>
                <w:sz w:val="20"/>
                <w:szCs w:val="20"/>
              </w:rPr>
            </w:pPr>
            <w:r>
              <w:rPr>
                <w:rFonts w:hint="eastAsia" w:ascii="宋体" w:hAnsi="宋体" w:eastAsia="宋体" w:cs="宋体"/>
                <w:sz w:val="20"/>
                <w:szCs w:val="20"/>
              </w:rPr>
              <w:t>对手动报警按钮盒的测试（分为带地址点位手动报警报钮盒、普通型报警按钮盒）</w:t>
            </w:r>
          </w:p>
        </w:tc>
        <w:tc>
          <w:tcPr>
            <w:tcW w:w="5941" w:type="dxa"/>
            <w:tcBorders>
              <w:top w:val="single" w:color="auto" w:sz="4" w:space="0"/>
              <w:left w:val="single" w:color="auto" w:sz="4" w:space="0"/>
              <w:bottom w:val="single" w:color="auto" w:sz="4" w:space="0"/>
              <w:right w:val="single" w:color="auto" w:sz="4" w:space="0"/>
            </w:tcBorders>
            <w:noWrap w:val="0"/>
            <w:vAlign w:val="center"/>
          </w:tcPr>
          <w:p w14:paraId="33DA1062">
            <w:pPr>
              <w:rPr>
                <w:rFonts w:hint="eastAsia" w:ascii="宋体" w:hAnsi="宋体" w:eastAsia="宋体" w:cs="宋体"/>
                <w:sz w:val="20"/>
                <w:szCs w:val="20"/>
              </w:rPr>
            </w:pPr>
            <w:r>
              <w:rPr>
                <w:rFonts w:hint="eastAsia" w:ascii="宋体" w:hAnsi="宋体" w:eastAsia="宋体" w:cs="宋体"/>
                <w:sz w:val="20"/>
                <w:szCs w:val="20"/>
              </w:rPr>
              <w:t>现场对手动报警按钮进行测试，带地址的手动报警按钮盒屏幕上所显示的系统号、地址号、中文信息与所处的地理位置相一致；对于普通型的手动报警盒的报报地址点与复视屏标注一一对应</w:t>
            </w:r>
          </w:p>
        </w:tc>
        <w:tc>
          <w:tcPr>
            <w:tcW w:w="1669" w:type="dxa"/>
            <w:tcBorders>
              <w:top w:val="single" w:color="auto" w:sz="4" w:space="0"/>
              <w:left w:val="single" w:color="auto" w:sz="4" w:space="0"/>
              <w:bottom w:val="single" w:color="auto" w:sz="4" w:space="0"/>
              <w:right w:val="single" w:color="auto" w:sz="4" w:space="0"/>
            </w:tcBorders>
            <w:noWrap w:val="0"/>
            <w:vAlign w:val="center"/>
          </w:tcPr>
          <w:p w14:paraId="2F244FF8">
            <w:pPr>
              <w:rPr>
                <w:rFonts w:hint="eastAsia" w:ascii="宋体" w:hAnsi="宋体" w:eastAsia="宋体" w:cs="宋体"/>
                <w:sz w:val="20"/>
                <w:szCs w:val="20"/>
              </w:rPr>
            </w:pPr>
            <w:r>
              <w:rPr>
                <w:rFonts w:hint="eastAsia" w:ascii="宋体" w:hAnsi="宋体" w:eastAsia="宋体" w:cs="宋体"/>
                <w:sz w:val="20"/>
                <w:szCs w:val="20"/>
              </w:rPr>
              <w:t>每一处显示不准确扣1—2分</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70567F58">
            <w:pPr>
              <w:jc w:val="center"/>
              <w:rPr>
                <w:rFonts w:hint="eastAsia" w:ascii="宋体" w:hAnsi="宋体" w:eastAsia="宋体" w:cs="宋体"/>
                <w:sz w:val="20"/>
                <w:szCs w:val="20"/>
              </w:rPr>
            </w:pPr>
          </w:p>
        </w:tc>
        <w:tc>
          <w:tcPr>
            <w:tcW w:w="808" w:type="dxa"/>
            <w:tcBorders>
              <w:top w:val="single" w:color="auto" w:sz="4" w:space="0"/>
              <w:left w:val="single" w:color="auto" w:sz="4" w:space="0"/>
              <w:bottom w:val="single" w:color="auto" w:sz="4" w:space="0"/>
              <w:right w:val="single" w:color="auto" w:sz="4" w:space="0"/>
            </w:tcBorders>
            <w:noWrap w:val="0"/>
            <w:vAlign w:val="center"/>
          </w:tcPr>
          <w:p w14:paraId="4B692C2D">
            <w:pPr>
              <w:jc w:val="center"/>
              <w:rPr>
                <w:rFonts w:hint="eastAsia" w:ascii="宋体" w:hAnsi="宋体" w:eastAsia="宋体" w:cs="宋体"/>
                <w:sz w:val="20"/>
                <w:szCs w:val="20"/>
              </w:rPr>
            </w:pPr>
          </w:p>
        </w:tc>
        <w:tc>
          <w:tcPr>
            <w:tcW w:w="563" w:type="dxa"/>
            <w:tcBorders>
              <w:top w:val="single" w:color="auto" w:sz="4" w:space="0"/>
              <w:left w:val="single" w:color="auto" w:sz="4" w:space="0"/>
              <w:bottom w:val="single" w:color="auto" w:sz="4" w:space="0"/>
              <w:right w:val="single" w:color="auto" w:sz="4" w:space="0"/>
            </w:tcBorders>
            <w:noWrap w:val="0"/>
            <w:vAlign w:val="center"/>
          </w:tcPr>
          <w:p w14:paraId="457BA568">
            <w:pPr>
              <w:jc w:val="center"/>
              <w:rPr>
                <w:rFonts w:hint="eastAsia" w:ascii="宋体" w:hAnsi="宋体" w:eastAsia="宋体" w:cs="宋体"/>
                <w:b/>
                <w:sz w:val="20"/>
                <w:szCs w:val="20"/>
              </w:rPr>
            </w:pPr>
            <w:r>
              <w:rPr>
                <w:rFonts w:hint="eastAsia" w:ascii="宋体" w:hAnsi="宋体" w:eastAsia="宋体" w:cs="宋体"/>
                <w:b/>
                <w:sz w:val="20"/>
                <w:szCs w:val="20"/>
              </w:rPr>
              <w:t>ⅴ</w:t>
            </w:r>
          </w:p>
        </w:tc>
      </w:tr>
      <w:tr w14:paraId="5B602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3" w:hRule="atLeast"/>
          <w:jc w:val="center"/>
        </w:trPr>
        <w:tc>
          <w:tcPr>
            <w:tcW w:w="0" w:type="auto"/>
            <w:vMerge w:val="continue"/>
            <w:tcBorders>
              <w:left w:val="single" w:color="auto" w:sz="4" w:space="0"/>
              <w:right w:val="single" w:color="auto" w:sz="4" w:space="0"/>
            </w:tcBorders>
            <w:noWrap w:val="0"/>
            <w:vAlign w:val="center"/>
          </w:tcPr>
          <w:p w14:paraId="6C451AA3">
            <w:pPr>
              <w:widowControl/>
              <w:jc w:val="left"/>
              <w:rPr>
                <w:rFonts w:hint="eastAsia" w:ascii="宋体" w:hAnsi="宋体" w:eastAsia="宋体" w:cs="宋体"/>
                <w:sz w:val="20"/>
                <w:szCs w:val="20"/>
              </w:rPr>
            </w:pPr>
          </w:p>
        </w:tc>
        <w:tc>
          <w:tcPr>
            <w:tcW w:w="0" w:type="auto"/>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2D1C8D27">
            <w:pPr>
              <w:ind w:left="113" w:right="113"/>
              <w:jc w:val="center"/>
              <w:rPr>
                <w:rFonts w:hint="eastAsia" w:ascii="宋体" w:hAnsi="宋体" w:eastAsia="宋体" w:cs="宋体"/>
                <w:sz w:val="20"/>
                <w:szCs w:val="20"/>
              </w:rPr>
            </w:pPr>
            <w:r>
              <w:rPr>
                <w:rFonts w:hint="eastAsia" w:ascii="宋体" w:hAnsi="宋体" w:eastAsia="宋体" w:cs="宋体"/>
                <w:sz w:val="20"/>
                <w:szCs w:val="20"/>
              </w:rPr>
              <w:t>中继器、各类模块</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4883FBC">
            <w:pPr>
              <w:rPr>
                <w:rFonts w:hint="eastAsia" w:ascii="宋体" w:hAnsi="宋体" w:eastAsia="宋体" w:cs="宋体"/>
                <w:sz w:val="20"/>
                <w:szCs w:val="20"/>
              </w:rPr>
            </w:pPr>
            <w:r>
              <w:rPr>
                <w:rFonts w:hint="eastAsia" w:ascii="宋体" w:hAnsi="宋体" w:eastAsia="宋体" w:cs="宋体"/>
                <w:sz w:val="20"/>
                <w:szCs w:val="20"/>
              </w:rPr>
              <w:t>中继器、各类模块拨码盘窗口防护设置状态</w:t>
            </w:r>
          </w:p>
        </w:tc>
        <w:tc>
          <w:tcPr>
            <w:tcW w:w="5941" w:type="dxa"/>
            <w:tcBorders>
              <w:top w:val="single" w:color="auto" w:sz="4" w:space="0"/>
              <w:left w:val="single" w:color="auto" w:sz="4" w:space="0"/>
              <w:bottom w:val="single" w:color="auto" w:sz="4" w:space="0"/>
              <w:right w:val="single" w:color="auto" w:sz="4" w:space="0"/>
            </w:tcBorders>
            <w:noWrap w:val="0"/>
            <w:vAlign w:val="center"/>
          </w:tcPr>
          <w:p w14:paraId="35A4AE63">
            <w:pPr>
              <w:rPr>
                <w:rFonts w:hint="eastAsia" w:ascii="宋体" w:hAnsi="宋体" w:eastAsia="宋体" w:cs="宋体"/>
                <w:sz w:val="20"/>
                <w:szCs w:val="20"/>
              </w:rPr>
            </w:pPr>
            <w:r>
              <w:rPr>
                <w:rFonts w:hint="eastAsia" w:ascii="宋体" w:hAnsi="宋体" w:eastAsia="宋体" w:cs="宋体"/>
                <w:sz w:val="20"/>
                <w:szCs w:val="20"/>
              </w:rPr>
              <w:t>中继器、各类模块拨码盘窗口要用高强度的单面塑料胶纸封住拨码盘窗口，盖上封签标识，以防误动造成系统重码或丢失地址、终端设备失控</w:t>
            </w:r>
          </w:p>
        </w:tc>
        <w:tc>
          <w:tcPr>
            <w:tcW w:w="1669" w:type="dxa"/>
            <w:tcBorders>
              <w:top w:val="single" w:color="auto" w:sz="4" w:space="0"/>
              <w:left w:val="single" w:color="auto" w:sz="4" w:space="0"/>
              <w:bottom w:val="single" w:color="auto" w:sz="4" w:space="0"/>
              <w:right w:val="single" w:color="auto" w:sz="4" w:space="0"/>
            </w:tcBorders>
            <w:noWrap w:val="0"/>
            <w:vAlign w:val="center"/>
          </w:tcPr>
          <w:p w14:paraId="5D3F8200">
            <w:pPr>
              <w:rPr>
                <w:rFonts w:hint="eastAsia" w:ascii="宋体" w:hAnsi="宋体" w:eastAsia="宋体" w:cs="宋体"/>
                <w:sz w:val="20"/>
                <w:szCs w:val="20"/>
              </w:rPr>
            </w:pPr>
            <w:r>
              <w:rPr>
                <w:rFonts w:hint="eastAsia" w:ascii="宋体" w:hAnsi="宋体" w:eastAsia="宋体" w:cs="宋体"/>
                <w:sz w:val="20"/>
                <w:szCs w:val="20"/>
              </w:rPr>
              <w:t>每一处不合格扣0.5分</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3F686F19">
            <w:pPr>
              <w:jc w:val="center"/>
              <w:rPr>
                <w:rFonts w:hint="eastAsia" w:ascii="宋体" w:hAnsi="宋体" w:eastAsia="宋体" w:cs="宋体"/>
                <w:sz w:val="20"/>
                <w:szCs w:val="20"/>
              </w:rPr>
            </w:pPr>
          </w:p>
        </w:tc>
        <w:tc>
          <w:tcPr>
            <w:tcW w:w="808" w:type="dxa"/>
            <w:tcBorders>
              <w:top w:val="single" w:color="auto" w:sz="4" w:space="0"/>
              <w:left w:val="single" w:color="auto" w:sz="4" w:space="0"/>
              <w:bottom w:val="single" w:color="auto" w:sz="4" w:space="0"/>
              <w:right w:val="single" w:color="auto" w:sz="4" w:space="0"/>
            </w:tcBorders>
            <w:noWrap w:val="0"/>
            <w:vAlign w:val="center"/>
          </w:tcPr>
          <w:p w14:paraId="3ECE2DA2">
            <w:pPr>
              <w:jc w:val="center"/>
              <w:rPr>
                <w:rFonts w:hint="eastAsia" w:ascii="宋体" w:hAnsi="宋体" w:eastAsia="宋体" w:cs="宋体"/>
                <w:sz w:val="20"/>
                <w:szCs w:val="20"/>
              </w:rPr>
            </w:pPr>
          </w:p>
        </w:tc>
        <w:tc>
          <w:tcPr>
            <w:tcW w:w="563" w:type="dxa"/>
            <w:tcBorders>
              <w:top w:val="single" w:color="auto" w:sz="4" w:space="0"/>
              <w:left w:val="single" w:color="auto" w:sz="4" w:space="0"/>
              <w:bottom w:val="single" w:color="auto" w:sz="4" w:space="0"/>
              <w:right w:val="single" w:color="auto" w:sz="4" w:space="0"/>
            </w:tcBorders>
            <w:noWrap w:val="0"/>
            <w:vAlign w:val="center"/>
          </w:tcPr>
          <w:p w14:paraId="584FB700">
            <w:pPr>
              <w:jc w:val="center"/>
              <w:rPr>
                <w:rFonts w:hint="eastAsia" w:ascii="宋体" w:hAnsi="宋体" w:eastAsia="宋体" w:cs="宋体"/>
                <w:b/>
                <w:sz w:val="20"/>
                <w:szCs w:val="20"/>
              </w:rPr>
            </w:pPr>
            <w:r>
              <w:rPr>
                <w:rFonts w:hint="eastAsia" w:ascii="宋体" w:hAnsi="宋体" w:eastAsia="宋体" w:cs="宋体"/>
                <w:b/>
                <w:sz w:val="20"/>
                <w:szCs w:val="20"/>
              </w:rPr>
              <w:t>ⅴ</w:t>
            </w:r>
          </w:p>
        </w:tc>
      </w:tr>
      <w:tr w14:paraId="09EA7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1" w:hRule="atLeast"/>
          <w:jc w:val="center"/>
        </w:trPr>
        <w:tc>
          <w:tcPr>
            <w:tcW w:w="0" w:type="auto"/>
            <w:vMerge w:val="continue"/>
            <w:tcBorders>
              <w:left w:val="single" w:color="auto" w:sz="4" w:space="0"/>
              <w:right w:val="single" w:color="auto" w:sz="4" w:space="0"/>
            </w:tcBorders>
            <w:noWrap w:val="0"/>
            <w:vAlign w:val="center"/>
          </w:tcPr>
          <w:p w14:paraId="5DA809BB">
            <w:pPr>
              <w:widowControl/>
              <w:jc w:val="left"/>
              <w:rPr>
                <w:rFonts w:hint="eastAsia" w:ascii="宋体" w:hAnsi="宋体" w:eastAsia="宋体" w:cs="宋体"/>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037F70B">
            <w:pPr>
              <w:widowControl/>
              <w:jc w:val="left"/>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DE2283F">
            <w:pPr>
              <w:rPr>
                <w:rFonts w:hint="eastAsia" w:ascii="宋体" w:hAnsi="宋体" w:eastAsia="宋体" w:cs="宋体"/>
                <w:sz w:val="20"/>
                <w:szCs w:val="20"/>
              </w:rPr>
            </w:pPr>
            <w:r>
              <w:rPr>
                <w:rFonts w:hint="eastAsia" w:ascii="宋体" w:hAnsi="宋体" w:eastAsia="宋体" w:cs="宋体"/>
                <w:sz w:val="20"/>
                <w:szCs w:val="20"/>
              </w:rPr>
              <w:t>中继器、各类模块接线端接线状况检查、卫生状况</w:t>
            </w:r>
          </w:p>
        </w:tc>
        <w:tc>
          <w:tcPr>
            <w:tcW w:w="5941" w:type="dxa"/>
            <w:tcBorders>
              <w:top w:val="single" w:color="auto" w:sz="4" w:space="0"/>
              <w:left w:val="single" w:color="auto" w:sz="4" w:space="0"/>
              <w:bottom w:val="single" w:color="auto" w:sz="4" w:space="0"/>
              <w:right w:val="single" w:color="auto" w:sz="4" w:space="0"/>
            </w:tcBorders>
            <w:noWrap w:val="0"/>
            <w:vAlign w:val="center"/>
          </w:tcPr>
          <w:p w14:paraId="137917FC">
            <w:pPr>
              <w:rPr>
                <w:rFonts w:hint="eastAsia" w:ascii="宋体" w:hAnsi="宋体" w:eastAsia="宋体" w:cs="宋体"/>
                <w:sz w:val="20"/>
                <w:szCs w:val="20"/>
              </w:rPr>
            </w:pPr>
            <w:r>
              <w:rPr>
                <w:rFonts w:hint="eastAsia" w:ascii="宋体" w:hAnsi="宋体" w:eastAsia="宋体" w:cs="宋体"/>
                <w:sz w:val="20"/>
                <w:szCs w:val="20"/>
              </w:rPr>
              <w:t>要求中继器、各类模块上的接线牢固可靠。所有的中继器、各类模块箱内要求清洁无尘</w:t>
            </w:r>
          </w:p>
        </w:tc>
        <w:tc>
          <w:tcPr>
            <w:tcW w:w="1669" w:type="dxa"/>
            <w:tcBorders>
              <w:top w:val="single" w:color="auto" w:sz="4" w:space="0"/>
              <w:left w:val="single" w:color="auto" w:sz="4" w:space="0"/>
              <w:bottom w:val="single" w:color="auto" w:sz="4" w:space="0"/>
              <w:right w:val="single" w:color="auto" w:sz="4" w:space="0"/>
            </w:tcBorders>
            <w:noWrap w:val="0"/>
            <w:vAlign w:val="center"/>
          </w:tcPr>
          <w:p w14:paraId="1D4CB77C">
            <w:pPr>
              <w:rPr>
                <w:rFonts w:hint="eastAsia" w:ascii="宋体" w:hAnsi="宋体" w:eastAsia="宋体" w:cs="宋体"/>
                <w:sz w:val="20"/>
                <w:szCs w:val="20"/>
              </w:rPr>
            </w:pPr>
            <w:r>
              <w:rPr>
                <w:rFonts w:hint="eastAsia" w:ascii="宋体" w:hAnsi="宋体" w:eastAsia="宋体" w:cs="宋体"/>
                <w:sz w:val="20"/>
                <w:szCs w:val="20"/>
              </w:rPr>
              <w:t>不清洁每一处扣0.5分</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031A1BFE">
            <w:pPr>
              <w:jc w:val="center"/>
              <w:rPr>
                <w:rFonts w:hint="eastAsia" w:ascii="宋体" w:hAnsi="宋体" w:eastAsia="宋体" w:cs="宋体"/>
                <w:sz w:val="20"/>
                <w:szCs w:val="20"/>
              </w:rPr>
            </w:pPr>
          </w:p>
        </w:tc>
        <w:tc>
          <w:tcPr>
            <w:tcW w:w="808" w:type="dxa"/>
            <w:tcBorders>
              <w:top w:val="single" w:color="auto" w:sz="4" w:space="0"/>
              <w:left w:val="single" w:color="auto" w:sz="4" w:space="0"/>
              <w:bottom w:val="single" w:color="auto" w:sz="4" w:space="0"/>
              <w:right w:val="single" w:color="auto" w:sz="4" w:space="0"/>
            </w:tcBorders>
            <w:noWrap w:val="0"/>
            <w:vAlign w:val="center"/>
          </w:tcPr>
          <w:p w14:paraId="30D2947C">
            <w:pPr>
              <w:jc w:val="center"/>
              <w:rPr>
                <w:rFonts w:hint="eastAsia" w:ascii="宋体" w:hAnsi="宋体" w:eastAsia="宋体" w:cs="宋体"/>
                <w:b/>
                <w:sz w:val="20"/>
                <w:szCs w:val="20"/>
              </w:rPr>
            </w:pPr>
            <w:r>
              <w:rPr>
                <w:rFonts w:hint="eastAsia" w:ascii="宋体" w:hAnsi="宋体" w:eastAsia="宋体" w:cs="宋体"/>
                <w:b/>
                <w:sz w:val="20"/>
                <w:szCs w:val="20"/>
              </w:rPr>
              <w:t>ⅴ</w:t>
            </w:r>
          </w:p>
        </w:tc>
        <w:tc>
          <w:tcPr>
            <w:tcW w:w="563" w:type="dxa"/>
            <w:tcBorders>
              <w:top w:val="single" w:color="auto" w:sz="4" w:space="0"/>
              <w:left w:val="single" w:color="auto" w:sz="4" w:space="0"/>
              <w:bottom w:val="single" w:color="auto" w:sz="4" w:space="0"/>
              <w:right w:val="single" w:color="auto" w:sz="4" w:space="0"/>
            </w:tcBorders>
            <w:noWrap w:val="0"/>
            <w:vAlign w:val="center"/>
          </w:tcPr>
          <w:p w14:paraId="368E85D9">
            <w:pPr>
              <w:jc w:val="center"/>
              <w:rPr>
                <w:rFonts w:hint="eastAsia" w:ascii="宋体" w:hAnsi="宋体" w:eastAsia="宋体" w:cs="宋体"/>
                <w:sz w:val="20"/>
                <w:szCs w:val="20"/>
              </w:rPr>
            </w:pPr>
          </w:p>
        </w:tc>
      </w:tr>
      <w:tr w14:paraId="22A82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94" w:hRule="atLeast"/>
          <w:jc w:val="center"/>
        </w:trPr>
        <w:tc>
          <w:tcPr>
            <w:tcW w:w="0" w:type="auto"/>
            <w:vMerge w:val="continue"/>
            <w:tcBorders>
              <w:left w:val="single" w:color="auto" w:sz="4" w:space="0"/>
              <w:right w:val="single" w:color="auto" w:sz="4" w:space="0"/>
            </w:tcBorders>
            <w:noWrap w:val="0"/>
            <w:vAlign w:val="center"/>
          </w:tcPr>
          <w:p w14:paraId="5479B65A">
            <w:pPr>
              <w:widowControl/>
              <w:jc w:val="left"/>
              <w:rPr>
                <w:rFonts w:hint="eastAsia" w:ascii="宋体" w:hAnsi="宋体" w:eastAsia="宋体" w:cs="宋体"/>
                <w:sz w:val="20"/>
                <w:szCs w:val="20"/>
              </w:rPr>
            </w:pPr>
          </w:p>
        </w:tc>
        <w:tc>
          <w:tcPr>
            <w:tcW w:w="0" w:type="auto"/>
            <w:vMerge w:val="restart"/>
            <w:tcBorders>
              <w:top w:val="single" w:color="auto" w:sz="4" w:space="0"/>
              <w:left w:val="single" w:color="auto" w:sz="4" w:space="0"/>
              <w:right w:val="single" w:color="auto" w:sz="4" w:space="0"/>
            </w:tcBorders>
            <w:noWrap w:val="0"/>
            <w:textDirection w:val="tbRlV"/>
            <w:vAlign w:val="center"/>
          </w:tcPr>
          <w:p w14:paraId="39E4B711">
            <w:pPr>
              <w:ind w:left="113" w:right="113"/>
              <w:jc w:val="center"/>
              <w:rPr>
                <w:rFonts w:hint="eastAsia" w:ascii="宋体" w:hAnsi="宋体" w:eastAsia="宋体" w:cs="宋体"/>
                <w:sz w:val="20"/>
                <w:szCs w:val="20"/>
              </w:rPr>
            </w:pPr>
            <w:r>
              <w:rPr>
                <w:rFonts w:hint="eastAsia" w:ascii="宋体" w:hAnsi="宋体" w:eastAsia="宋体" w:cs="宋体"/>
                <w:sz w:val="20"/>
                <w:szCs w:val="20"/>
              </w:rPr>
              <w:t>感烟、感温探测器</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C924C84">
            <w:pPr>
              <w:rPr>
                <w:rFonts w:hint="eastAsia" w:ascii="宋体" w:hAnsi="宋体" w:eastAsia="宋体" w:cs="宋体"/>
                <w:sz w:val="20"/>
                <w:szCs w:val="20"/>
              </w:rPr>
            </w:pPr>
            <w:r>
              <w:rPr>
                <w:rFonts w:hint="eastAsia" w:ascii="宋体" w:hAnsi="宋体" w:eastAsia="宋体" w:cs="宋体"/>
                <w:sz w:val="20"/>
                <w:szCs w:val="20"/>
              </w:rPr>
              <w:t>感烟探测器的除尘，工作环境状况</w:t>
            </w:r>
          </w:p>
        </w:tc>
        <w:tc>
          <w:tcPr>
            <w:tcW w:w="5941" w:type="dxa"/>
            <w:tcBorders>
              <w:top w:val="single" w:color="auto" w:sz="4" w:space="0"/>
              <w:left w:val="single" w:color="auto" w:sz="4" w:space="0"/>
              <w:bottom w:val="single" w:color="auto" w:sz="4" w:space="0"/>
              <w:right w:val="single" w:color="auto" w:sz="4" w:space="0"/>
            </w:tcBorders>
            <w:noWrap w:val="0"/>
            <w:vAlign w:val="center"/>
          </w:tcPr>
          <w:p w14:paraId="1995D319">
            <w:pPr>
              <w:rPr>
                <w:rFonts w:hint="eastAsia" w:ascii="宋体" w:hAnsi="宋体" w:eastAsia="宋体" w:cs="宋体"/>
                <w:sz w:val="20"/>
                <w:szCs w:val="20"/>
              </w:rPr>
            </w:pPr>
            <w:r>
              <w:rPr>
                <w:rFonts w:hint="eastAsia" w:ascii="宋体" w:hAnsi="宋体" w:eastAsia="宋体" w:cs="宋体"/>
                <w:sz w:val="20"/>
                <w:szCs w:val="20"/>
              </w:rPr>
              <w:t>感烟探测器为点型散射击型探测器，每年要定期清洗防尘网、烟雾室、红外线发光二极管、凸透镜、光电池，放射源。就地检查要没有障碍物对其影响，确保探测器正常工作</w:t>
            </w:r>
          </w:p>
        </w:tc>
        <w:tc>
          <w:tcPr>
            <w:tcW w:w="1669" w:type="dxa"/>
            <w:tcBorders>
              <w:top w:val="single" w:color="auto" w:sz="4" w:space="0"/>
              <w:left w:val="single" w:color="auto" w:sz="4" w:space="0"/>
              <w:bottom w:val="single" w:color="auto" w:sz="4" w:space="0"/>
              <w:right w:val="single" w:color="auto" w:sz="4" w:space="0"/>
            </w:tcBorders>
            <w:noWrap w:val="0"/>
            <w:vAlign w:val="center"/>
          </w:tcPr>
          <w:p w14:paraId="09F4F3B2">
            <w:pPr>
              <w:rPr>
                <w:rFonts w:hint="eastAsia" w:ascii="宋体" w:hAnsi="宋体" w:eastAsia="宋体" w:cs="宋体"/>
                <w:sz w:val="20"/>
                <w:szCs w:val="20"/>
              </w:rPr>
            </w:pPr>
            <w:r>
              <w:rPr>
                <w:rFonts w:hint="eastAsia" w:ascii="宋体" w:hAnsi="宋体" w:eastAsia="宋体" w:cs="宋体"/>
                <w:sz w:val="20"/>
                <w:szCs w:val="20"/>
              </w:rPr>
              <w:t>不合格每一处扣0.05分</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5765155F">
            <w:pPr>
              <w:jc w:val="center"/>
              <w:rPr>
                <w:rFonts w:hint="eastAsia" w:ascii="宋体" w:hAnsi="宋体" w:eastAsia="宋体" w:cs="宋体"/>
                <w:sz w:val="20"/>
                <w:szCs w:val="20"/>
              </w:rPr>
            </w:pPr>
          </w:p>
        </w:tc>
        <w:tc>
          <w:tcPr>
            <w:tcW w:w="808" w:type="dxa"/>
            <w:tcBorders>
              <w:top w:val="single" w:color="auto" w:sz="4" w:space="0"/>
              <w:left w:val="single" w:color="auto" w:sz="4" w:space="0"/>
              <w:bottom w:val="single" w:color="auto" w:sz="4" w:space="0"/>
              <w:right w:val="single" w:color="auto" w:sz="4" w:space="0"/>
            </w:tcBorders>
            <w:noWrap w:val="0"/>
            <w:vAlign w:val="center"/>
          </w:tcPr>
          <w:p w14:paraId="402D7AEA">
            <w:pPr>
              <w:jc w:val="center"/>
              <w:rPr>
                <w:rFonts w:hint="eastAsia" w:ascii="宋体" w:hAnsi="宋体" w:eastAsia="宋体" w:cs="宋体"/>
                <w:b/>
                <w:sz w:val="20"/>
                <w:szCs w:val="20"/>
              </w:rPr>
            </w:pPr>
          </w:p>
        </w:tc>
        <w:tc>
          <w:tcPr>
            <w:tcW w:w="563" w:type="dxa"/>
            <w:tcBorders>
              <w:top w:val="single" w:color="auto" w:sz="4" w:space="0"/>
              <w:left w:val="single" w:color="auto" w:sz="4" w:space="0"/>
              <w:bottom w:val="single" w:color="auto" w:sz="4" w:space="0"/>
              <w:right w:val="single" w:color="auto" w:sz="4" w:space="0"/>
            </w:tcBorders>
            <w:noWrap w:val="0"/>
            <w:vAlign w:val="center"/>
          </w:tcPr>
          <w:p w14:paraId="1D673554">
            <w:pPr>
              <w:jc w:val="center"/>
              <w:rPr>
                <w:rFonts w:hint="eastAsia" w:ascii="宋体" w:hAnsi="宋体" w:eastAsia="宋体" w:cs="宋体"/>
                <w:b/>
                <w:sz w:val="20"/>
                <w:szCs w:val="20"/>
              </w:rPr>
            </w:pPr>
            <w:r>
              <w:rPr>
                <w:rFonts w:hint="eastAsia" w:ascii="宋体" w:hAnsi="宋体" w:eastAsia="宋体" w:cs="宋体"/>
                <w:b/>
                <w:sz w:val="20"/>
                <w:szCs w:val="20"/>
              </w:rPr>
              <w:t>ⅴ</w:t>
            </w:r>
          </w:p>
        </w:tc>
      </w:tr>
      <w:tr w14:paraId="65FAA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67" w:hRule="atLeast"/>
          <w:jc w:val="center"/>
        </w:trPr>
        <w:tc>
          <w:tcPr>
            <w:tcW w:w="0" w:type="auto"/>
            <w:vMerge w:val="continue"/>
            <w:tcBorders>
              <w:left w:val="single" w:color="auto" w:sz="4" w:space="0"/>
              <w:bottom w:val="single" w:color="auto" w:sz="4" w:space="0"/>
              <w:right w:val="single" w:color="auto" w:sz="4" w:space="0"/>
            </w:tcBorders>
            <w:noWrap w:val="0"/>
            <w:vAlign w:val="center"/>
          </w:tcPr>
          <w:p w14:paraId="10E3A524">
            <w:pPr>
              <w:widowControl/>
              <w:jc w:val="left"/>
              <w:rPr>
                <w:rFonts w:hint="eastAsia" w:ascii="宋体" w:hAnsi="宋体" w:eastAsia="宋体" w:cs="宋体"/>
                <w:sz w:val="20"/>
                <w:szCs w:val="20"/>
              </w:rPr>
            </w:pPr>
          </w:p>
        </w:tc>
        <w:tc>
          <w:tcPr>
            <w:tcW w:w="0" w:type="auto"/>
            <w:vMerge w:val="continue"/>
            <w:tcBorders>
              <w:left w:val="single" w:color="auto" w:sz="4" w:space="0"/>
              <w:bottom w:val="single" w:color="auto" w:sz="4" w:space="0"/>
              <w:right w:val="single" w:color="auto" w:sz="4" w:space="0"/>
            </w:tcBorders>
            <w:noWrap w:val="0"/>
            <w:textDirection w:val="tbRlV"/>
            <w:vAlign w:val="center"/>
          </w:tcPr>
          <w:p w14:paraId="47F076C2">
            <w:pPr>
              <w:ind w:left="113" w:right="113"/>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2C82925">
            <w:pPr>
              <w:rPr>
                <w:rFonts w:hint="eastAsia" w:ascii="宋体" w:hAnsi="宋体" w:eastAsia="宋体" w:cs="宋体"/>
                <w:sz w:val="20"/>
                <w:szCs w:val="20"/>
              </w:rPr>
            </w:pPr>
            <w:r>
              <w:rPr>
                <w:rFonts w:hint="eastAsia" w:ascii="宋体" w:hAnsi="宋体" w:eastAsia="宋体" w:cs="宋体"/>
                <w:sz w:val="20"/>
                <w:szCs w:val="20"/>
              </w:rPr>
              <w:t>感烟、感温探测器的加烟、加温试验（每月都要测试，一年内全部检测完成）</w:t>
            </w:r>
          </w:p>
        </w:tc>
        <w:tc>
          <w:tcPr>
            <w:tcW w:w="5941" w:type="dxa"/>
            <w:tcBorders>
              <w:top w:val="single" w:color="auto" w:sz="4" w:space="0"/>
              <w:left w:val="single" w:color="auto" w:sz="4" w:space="0"/>
              <w:bottom w:val="single" w:color="auto" w:sz="4" w:space="0"/>
              <w:right w:val="single" w:color="auto" w:sz="4" w:space="0"/>
            </w:tcBorders>
            <w:noWrap w:val="0"/>
            <w:vAlign w:val="center"/>
          </w:tcPr>
          <w:p w14:paraId="254239CE">
            <w:pPr>
              <w:rPr>
                <w:rFonts w:hint="eastAsia" w:ascii="宋体" w:hAnsi="宋体" w:eastAsia="宋体" w:cs="宋体"/>
                <w:sz w:val="20"/>
                <w:szCs w:val="20"/>
              </w:rPr>
            </w:pPr>
            <w:r>
              <w:rPr>
                <w:rFonts w:hint="eastAsia" w:ascii="宋体" w:hAnsi="宋体" w:eastAsia="宋体" w:cs="宋体"/>
                <w:sz w:val="20"/>
                <w:szCs w:val="20"/>
              </w:rPr>
              <w:t>带地址点位的烟、温感探测器当受烟、受温报警工作时应在主机上显示相应的系统号、地址号、探测器所在场所的中文信息；普通感烟、感温探测器要报出中继器或模块的系统号、地址点位、相应的中文信息</w:t>
            </w:r>
          </w:p>
        </w:tc>
        <w:tc>
          <w:tcPr>
            <w:tcW w:w="1669" w:type="dxa"/>
            <w:tcBorders>
              <w:top w:val="single" w:color="auto" w:sz="4" w:space="0"/>
              <w:left w:val="single" w:color="auto" w:sz="4" w:space="0"/>
              <w:bottom w:val="single" w:color="auto" w:sz="4" w:space="0"/>
              <w:right w:val="single" w:color="auto" w:sz="4" w:space="0"/>
            </w:tcBorders>
            <w:noWrap w:val="0"/>
            <w:vAlign w:val="center"/>
          </w:tcPr>
          <w:p w14:paraId="5F6FEAD7">
            <w:pPr>
              <w:rPr>
                <w:rFonts w:hint="eastAsia" w:ascii="宋体" w:hAnsi="宋体" w:eastAsia="宋体" w:cs="宋体"/>
                <w:sz w:val="20"/>
                <w:szCs w:val="20"/>
              </w:rPr>
            </w:pPr>
            <w:r>
              <w:rPr>
                <w:rFonts w:hint="eastAsia" w:ascii="宋体" w:hAnsi="宋体" w:eastAsia="宋体" w:cs="宋体"/>
                <w:sz w:val="20"/>
                <w:szCs w:val="20"/>
              </w:rPr>
              <w:t>探测器不能工作扣0.5分，报点不准确扣0.2分</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05B76A7F">
            <w:pPr>
              <w:jc w:val="center"/>
              <w:rPr>
                <w:rFonts w:hint="eastAsia" w:ascii="宋体" w:hAnsi="宋体" w:eastAsia="宋体" w:cs="宋体"/>
                <w:sz w:val="20"/>
                <w:szCs w:val="20"/>
              </w:rPr>
            </w:pPr>
          </w:p>
        </w:tc>
        <w:tc>
          <w:tcPr>
            <w:tcW w:w="808" w:type="dxa"/>
            <w:tcBorders>
              <w:top w:val="single" w:color="auto" w:sz="4" w:space="0"/>
              <w:left w:val="single" w:color="auto" w:sz="4" w:space="0"/>
              <w:bottom w:val="single" w:color="auto" w:sz="4" w:space="0"/>
              <w:right w:val="single" w:color="auto" w:sz="4" w:space="0"/>
            </w:tcBorders>
            <w:noWrap w:val="0"/>
            <w:vAlign w:val="center"/>
          </w:tcPr>
          <w:p w14:paraId="42A553D7">
            <w:pPr>
              <w:jc w:val="center"/>
              <w:rPr>
                <w:rFonts w:hint="eastAsia" w:ascii="宋体" w:hAnsi="宋体" w:eastAsia="宋体" w:cs="宋体"/>
                <w:sz w:val="20"/>
                <w:szCs w:val="20"/>
              </w:rPr>
            </w:pPr>
            <w:r>
              <w:rPr>
                <w:rFonts w:hint="eastAsia" w:ascii="宋体" w:hAnsi="宋体" w:eastAsia="宋体" w:cs="宋体"/>
                <w:sz w:val="20"/>
                <w:szCs w:val="20"/>
              </w:rPr>
              <w:t>月试验总量</w:t>
            </w:r>
          </w:p>
          <w:p w14:paraId="6119D882">
            <w:pPr>
              <w:jc w:val="center"/>
              <w:rPr>
                <w:rFonts w:hint="eastAsia" w:ascii="宋体" w:hAnsi="宋体" w:eastAsia="宋体" w:cs="宋体"/>
                <w:sz w:val="20"/>
                <w:szCs w:val="20"/>
              </w:rPr>
            </w:pPr>
            <w:r>
              <w:rPr>
                <w:rFonts w:hint="eastAsia" w:ascii="宋体" w:hAnsi="宋体" w:eastAsia="宋体" w:cs="宋体"/>
                <w:sz w:val="20"/>
                <w:szCs w:val="20"/>
              </w:rPr>
              <w:t>10%</w:t>
            </w:r>
          </w:p>
        </w:tc>
        <w:tc>
          <w:tcPr>
            <w:tcW w:w="563" w:type="dxa"/>
            <w:tcBorders>
              <w:top w:val="single" w:color="auto" w:sz="4" w:space="0"/>
              <w:left w:val="single" w:color="auto" w:sz="4" w:space="0"/>
              <w:bottom w:val="single" w:color="auto" w:sz="4" w:space="0"/>
              <w:right w:val="single" w:color="auto" w:sz="4" w:space="0"/>
            </w:tcBorders>
            <w:noWrap w:val="0"/>
            <w:vAlign w:val="center"/>
          </w:tcPr>
          <w:p w14:paraId="303EA5CB">
            <w:pPr>
              <w:jc w:val="center"/>
              <w:rPr>
                <w:rFonts w:hint="eastAsia" w:ascii="宋体" w:hAnsi="宋体" w:eastAsia="宋体" w:cs="宋体"/>
                <w:sz w:val="20"/>
                <w:szCs w:val="20"/>
              </w:rPr>
            </w:pPr>
          </w:p>
        </w:tc>
      </w:tr>
      <w:tr w14:paraId="6F6C4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0" w:type="auto"/>
            <w:gridSpan w:val="2"/>
            <w:vMerge w:val="restart"/>
            <w:tcBorders>
              <w:top w:val="single" w:color="auto" w:sz="4" w:space="0"/>
              <w:left w:val="single" w:color="auto" w:sz="4" w:space="0"/>
              <w:bottom w:val="single" w:color="auto" w:sz="4" w:space="0"/>
              <w:right w:val="single" w:color="auto" w:sz="4" w:space="0"/>
              <w:tl2br w:val="single" w:color="auto" w:sz="4" w:space="0"/>
            </w:tcBorders>
            <w:noWrap w:val="0"/>
            <w:vAlign w:val="top"/>
          </w:tcPr>
          <w:p w14:paraId="4DDC65B1">
            <w:pPr>
              <w:jc w:val="center"/>
              <w:rPr>
                <w:rFonts w:hint="eastAsia" w:ascii="宋体" w:hAnsi="宋体" w:eastAsia="宋体" w:cs="宋体"/>
                <w:sz w:val="20"/>
                <w:szCs w:val="20"/>
              </w:rPr>
            </w:pPr>
            <w:r>
              <w:rPr>
                <w:rFonts w:hint="eastAsia" w:ascii="宋体" w:hAnsi="宋体" w:eastAsia="宋体" w:cs="宋体"/>
                <w:sz w:val="20"/>
                <w:szCs w:val="20"/>
              </w:rPr>
              <w:t xml:space="preserve">       分项要求</w:t>
            </w:r>
          </w:p>
          <w:p w14:paraId="5074C314">
            <w:pPr>
              <w:rPr>
                <w:rFonts w:hint="eastAsia" w:ascii="宋体" w:hAnsi="宋体" w:eastAsia="宋体" w:cs="宋体"/>
                <w:sz w:val="20"/>
                <w:szCs w:val="20"/>
              </w:rPr>
            </w:pPr>
            <w:r>
              <w:rPr>
                <w:rFonts w:hint="eastAsia" w:ascii="宋体" w:hAnsi="宋体" w:eastAsia="宋体" w:cs="宋体"/>
                <w:sz w:val="20"/>
                <w:szCs w:val="20"/>
              </w:rPr>
              <w:t>系统分类</w:t>
            </w:r>
          </w:p>
        </w:tc>
        <w:tc>
          <w:tcPr>
            <w:tcW w:w="0" w:type="auto"/>
            <w:vMerge w:val="restart"/>
            <w:tcBorders>
              <w:top w:val="single" w:color="auto" w:sz="4" w:space="0"/>
              <w:left w:val="single" w:color="auto" w:sz="4" w:space="0"/>
              <w:bottom w:val="single" w:color="auto" w:sz="4" w:space="0"/>
              <w:right w:val="single" w:color="auto" w:sz="4" w:space="0"/>
            </w:tcBorders>
            <w:noWrap w:val="0"/>
            <w:vAlign w:val="center"/>
          </w:tcPr>
          <w:p w14:paraId="3584FF7B">
            <w:pPr>
              <w:jc w:val="center"/>
              <w:rPr>
                <w:rFonts w:hint="eastAsia" w:ascii="宋体" w:hAnsi="宋体" w:eastAsia="宋体" w:cs="宋体"/>
                <w:sz w:val="20"/>
                <w:szCs w:val="20"/>
              </w:rPr>
            </w:pPr>
            <w:r>
              <w:rPr>
                <w:rFonts w:hint="eastAsia" w:ascii="宋体" w:hAnsi="宋体" w:eastAsia="宋体" w:cs="宋体"/>
                <w:sz w:val="20"/>
                <w:szCs w:val="20"/>
              </w:rPr>
              <w:t>维护保养项目</w:t>
            </w:r>
          </w:p>
        </w:tc>
        <w:tc>
          <w:tcPr>
            <w:tcW w:w="5941" w:type="dxa"/>
            <w:vMerge w:val="restart"/>
            <w:tcBorders>
              <w:top w:val="single" w:color="auto" w:sz="4" w:space="0"/>
              <w:left w:val="single" w:color="auto" w:sz="4" w:space="0"/>
              <w:bottom w:val="single" w:color="auto" w:sz="4" w:space="0"/>
              <w:right w:val="single" w:color="auto" w:sz="4" w:space="0"/>
            </w:tcBorders>
            <w:noWrap w:val="0"/>
            <w:vAlign w:val="center"/>
          </w:tcPr>
          <w:p w14:paraId="030E9940">
            <w:pPr>
              <w:jc w:val="center"/>
              <w:rPr>
                <w:rFonts w:hint="eastAsia" w:ascii="宋体" w:hAnsi="宋体" w:eastAsia="宋体" w:cs="宋体"/>
                <w:sz w:val="20"/>
                <w:szCs w:val="20"/>
              </w:rPr>
            </w:pPr>
            <w:r>
              <w:rPr>
                <w:rFonts w:hint="eastAsia" w:ascii="宋体" w:hAnsi="宋体" w:eastAsia="宋体" w:cs="宋体"/>
                <w:sz w:val="20"/>
                <w:szCs w:val="20"/>
              </w:rPr>
              <w:t>合格标准</w:t>
            </w:r>
          </w:p>
        </w:tc>
        <w:tc>
          <w:tcPr>
            <w:tcW w:w="1669" w:type="dxa"/>
            <w:vMerge w:val="restart"/>
            <w:tcBorders>
              <w:top w:val="single" w:color="auto" w:sz="4" w:space="0"/>
              <w:left w:val="single" w:color="auto" w:sz="4" w:space="0"/>
              <w:bottom w:val="single" w:color="auto" w:sz="4" w:space="0"/>
              <w:right w:val="single" w:color="auto" w:sz="4" w:space="0"/>
            </w:tcBorders>
            <w:noWrap w:val="0"/>
            <w:vAlign w:val="center"/>
          </w:tcPr>
          <w:p w14:paraId="6766FB16">
            <w:pPr>
              <w:jc w:val="center"/>
              <w:rPr>
                <w:rFonts w:hint="eastAsia" w:ascii="宋体" w:hAnsi="宋体" w:eastAsia="宋体" w:cs="宋体"/>
                <w:sz w:val="20"/>
                <w:szCs w:val="20"/>
              </w:rPr>
            </w:pPr>
            <w:r>
              <w:rPr>
                <w:rFonts w:hint="eastAsia" w:ascii="宋体" w:hAnsi="宋体" w:eastAsia="宋体" w:cs="宋体"/>
                <w:sz w:val="20"/>
                <w:szCs w:val="20"/>
              </w:rPr>
              <w:t>扣分标准（参考）</w:t>
            </w:r>
          </w:p>
        </w:tc>
        <w:tc>
          <w:tcPr>
            <w:tcW w:w="2053" w:type="dxa"/>
            <w:gridSpan w:val="3"/>
            <w:tcBorders>
              <w:top w:val="single" w:color="auto" w:sz="4" w:space="0"/>
              <w:left w:val="single" w:color="auto" w:sz="4" w:space="0"/>
              <w:bottom w:val="single" w:color="auto" w:sz="4" w:space="0"/>
              <w:right w:val="single" w:color="auto" w:sz="4" w:space="0"/>
            </w:tcBorders>
            <w:noWrap w:val="0"/>
            <w:vAlign w:val="center"/>
          </w:tcPr>
          <w:p w14:paraId="68AB8E86">
            <w:pPr>
              <w:jc w:val="center"/>
              <w:rPr>
                <w:rFonts w:hint="eastAsia" w:ascii="宋体" w:hAnsi="宋体" w:eastAsia="宋体" w:cs="宋体"/>
                <w:sz w:val="20"/>
                <w:szCs w:val="20"/>
              </w:rPr>
            </w:pPr>
            <w:r>
              <w:rPr>
                <w:rFonts w:hint="eastAsia" w:ascii="宋体" w:hAnsi="宋体" w:eastAsia="宋体" w:cs="宋体"/>
                <w:sz w:val="20"/>
                <w:szCs w:val="20"/>
              </w:rPr>
              <w:t>工 作 频 次</w:t>
            </w:r>
          </w:p>
        </w:tc>
      </w:tr>
      <w:tr w14:paraId="69AA0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0" w:type="auto"/>
            <w:gridSpan w:val="2"/>
            <w:vMerge w:val="continue"/>
            <w:tcBorders>
              <w:top w:val="single" w:color="auto" w:sz="4" w:space="0"/>
              <w:left w:val="single" w:color="auto" w:sz="4" w:space="0"/>
              <w:bottom w:val="single" w:color="auto" w:sz="4" w:space="0"/>
              <w:right w:val="single" w:color="auto" w:sz="4" w:space="0"/>
              <w:tl2br w:val="single" w:color="auto" w:sz="4" w:space="0"/>
            </w:tcBorders>
            <w:noWrap w:val="0"/>
            <w:vAlign w:val="center"/>
          </w:tcPr>
          <w:p w14:paraId="331A58FB">
            <w:pPr>
              <w:widowControl/>
              <w:jc w:val="left"/>
              <w:rPr>
                <w:rFonts w:hint="eastAsia" w:ascii="宋体" w:hAnsi="宋体" w:eastAsia="宋体" w:cs="宋体"/>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8D0E2D6">
            <w:pPr>
              <w:widowControl/>
              <w:jc w:val="left"/>
              <w:rPr>
                <w:rFonts w:hint="eastAsia" w:ascii="宋体" w:hAnsi="宋体" w:eastAsia="宋体" w:cs="宋体"/>
                <w:sz w:val="20"/>
                <w:szCs w:val="20"/>
              </w:rPr>
            </w:pPr>
          </w:p>
        </w:tc>
        <w:tc>
          <w:tcPr>
            <w:tcW w:w="5941" w:type="dxa"/>
            <w:vMerge w:val="continue"/>
            <w:tcBorders>
              <w:top w:val="single" w:color="auto" w:sz="4" w:space="0"/>
              <w:left w:val="single" w:color="auto" w:sz="4" w:space="0"/>
              <w:bottom w:val="single" w:color="auto" w:sz="4" w:space="0"/>
              <w:right w:val="single" w:color="auto" w:sz="4" w:space="0"/>
            </w:tcBorders>
            <w:noWrap w:val="0"/>
            <w:vAlign w:val="center"/>
          </w:tcPr>
          <w:p w14:paraId="09C58579">
            <w:pPr>
              <w:widowControl/>
              <w:jc w:val="left"/>
              <w:rPr>
                <w:rFonts w:hint="eastAsia" w:ascii="宋体" w:hAnsi="宋体" w:eastAsia="宋体" w:cs="宋体"/>
                <w:sz w:val="20"/>
                <w:szCs w:val="20"/>
              </w:rPr>
            </w:pPr>
          </w:p>
        </w:tc>
        <w:tc>
          <w:tcPr>
            <w:tcW w:w="1669" w:type="dxa"/>
            <w:vMerge w:val="continue"/>
            <w:tcBorders>
              <w:top w:val="single" w:color="auto" w:sz="4" w:space="0"/>
              <w:left w:val="single" w:color="auto" w:sz="4" w:space="0"/>
              <w:bottom w:val="single" w:color="auto" w:sz="4" w:space="0"/>
              <w:right w:val="single" w:color="auto" w:sz="4" w:space="0"/>
            </w:tcBorders>
            <w:noWrap w:val="0"/>
            <w:vAlign w:val="center"/>
          </w:tcPr>
          <w:p w14:paraId="5A71FD83">
            <w:pPr>
              <w:widowControl/>
              <w:jc w:val="left"/>
              <w:rPr>
                <w:rFonts w:hint="eastAsia" w:ascii="宋体" w:hAnsi="宋体" w:eastAsia="宋体" w:cs="宋体"/>
                <w:sz w:val="20"/>
                <w:szCs w:val="20"/>
              </w:rPr>
            </w:pPr>
          </w:p>
        </w:tc>
        <w:tc>
          <w:tcPr>
            <w:tcW w:w="682" w:type="dxa"/>
            <w:tcBorders>
              <w:top w:val="single" w:color="auto" w:sz="4" w:space="0"/>
              <w:left w:val="single" w:color="auto" w:sz="4" w:space="0"/>
              <w:bottom w:val="single" w:color="auto" w:sz="4" w:space="0"/>
              <w:right w:val="single" w:color="auto" w:sz="4" w:space="0"/>
            </w:tcBorders>
            <w:noWrap w:val="0"/>
            <w:vAlign w:val="center"/>
          </w:tcPr>
          <w:p w14:paraId="65338581">
            <w:pPr>
              <w:jc w:val="center"/>
              <w:rPr>
                <w:rFonts w:hint="eastAsia" w:ascii="宋体" w:hAnsi="宋体" w:eastAsia="宋体" w:cs="宋体"/>
                <w:sz w:val="20"/>
                <w:szCs w:val="20"/>
              </w:rPr>
            </w:pPr>
            <w:r>
              <w:rPr>
                <w:rFonts w:hint="eastAsia" w:ascii="宋体" w:hAnsi="宋体" w:eastAsia="宋体" w:cs="宋体"/>
                <w:sz w:val="20"/>
                <w:szCs w:val="20"/>
              </w:rPr>
              <w:t>周</w:t>
            </w:r>
          </w:p>
        </w:tc>
        <w:tc>
          <w:tcPr>
            <w:tcW w:w="808" w:type="dxa"/>
            <w:tcBorders>
              <w:top w:val="single" w:color="auto" w:sz="4" w:space="0"/>
              <w:left w:val="single" w:color="auto" w:sz="4" w:space="0"/>
              <w:bottom w:val="single" w:color="auto" w:sz="4" w:space="0"/>
              <w:right w:val="single" w:color="auto" w:sz="4" w:space="0"/>
            </w:tcBorders>
            <w:noWrap w:val="0"/>
            <w:vAlign w:val="center"/>
          </w:tcPr>
          <w:p w14:paraId="61878FE3">
            <w:pPr>
              <w:jc w:val="center"/>
              <w:rPr>
                <w:rFonts w:hint="eastAsia" w:ascii="宋体" w:hAnsi="宋体" w:eastAsia="宋体" w:cs="宋体"/>
                <w:sz w:val="20"/>
                <w:szCs w:val="20"/>
              </w:rPr>
            </w:pPr>
            <w:r>
              <w:rPr>
                <w:rFonts w:hint="eastAsia" w:ascii="宋体" w:hAnsi="宋体" w:eastAsia="宋体" w:cs="宋体"/>
                <w:sz w:val="20"/>
                <w:szCs w:val="20"/>
              </w:rPr>
              <w:t>月</w:t>
            </w:r>
          </w:p>
        </w:tc>
        <w:tc>
          <w:tcPr>
            <w:tcW w:w="563" w:type="dxa"/>
            <w:tcBorders>
              <w:top w:val="single" w:color="auto" w:sz="4" w:space="0"/>
              <w:left w:val="single" w:color="auto" w:sz="4" w:space="0"/>
              <w:bottom w:val="single" w:color="auto" w:sz="4" w:space="0"/>
              <w:right w:val="single" w:color="auto" w:sz="4" w:space="0"/>
            </w:tcBorders>
            <w:noWrap w:val="0"/>
            <w:vAlign w:val="center"/>
          </w:tcPr>
          <w:p w14:paraId="5496B8B5">
            <w:pPr>
              <w:jc w:val="center"/>
              <w:rPr>
                <w:rFonts w:hint="eastAsia" w:ascii="宋体" w:hAnsi="宋体" w:eastAsia="宋体" w:cs="宋体"/>
                <w:sz w:val="20"/>
                <w:szCs w:val="20"/>
              </w:rPr>
            </w:pPr>
            <w:r>
              <w:rPr>
                <w:rFonts w:hint="eastAsia" w:ascii="宋体" w:hAnsi="宋体" w:eastAsia="宋体" w:cs="宋体"/>
                <w:sz w:val="20"/>
                <w:szCs w:val="20"/>
              </w:rPr>
              <w:t>季</w:t>
            </w:r>
          </w:p>
        </w:tc>
      </w:tr>
      <w:tr w14:paraId="0DCE3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8" w:hRule="atLeast"/>
          <w:jc w:val="center"/>
        </w:trPr>
        <w:tc>
          <w:tcPr>
            <w:tcW w:w="0" w:type="auto"/>
            <w:vMerge w:val="restart"/>
            <w:tcBorders>
              <w:top w:val="single" w:color="auto" w:sz="4" w:space="0"/>
              <w:left w:val="single" w:color="auto" w:sz="4" w:space="0"/>
              <w:right w:val="single" w:color="auto" w:sz="4" w:space="0"/>
            </w:tcBorders>
            <w:noWrap w:val="0"/>
            <w:textDirection w:val="tbRlV"/>
            <w:vAlign w:val="center"/>
          </w:tcPr>
          <w:p w14:paraId="29C2A62B">
            <w:pPr>
              <w:ind w:left="113" w:right="113"/>
              <w:jc w:val="center"/>
              <w:rPr>
                <w:rFonts w:hint="eastAsia" w:ascii="宋体" w:hAnsi="宋体" w:eastAsia="宋体" w:cs="宋体"/>
                <w:sz w:val="20"/>
                <w:szCs w:val="20"/>
              </w:rPr>
            </w:pPr>
            <w:r>
              <w:rPr>
                <w:rFonts w:hint="eastAsia" w:ascii="宋体" w:hAnsi="宋体" w:eastAsia="宋体" w:cs="宋体"/>
                <w:sz w:val="20"/>
                <w:szCs w:val="20"/>
              </w:rPr>
              <w:t>消火栓系统</w:t>
            </w:r>
            <w:r>
              <w:rPr>
                <w:rFonts w:hint="eastAsia" w:ascii="宋体" w:hAnsi="宋体" w:cs="宋体"/>
                <w:sz w:val="20"/>
                <w:szCs w:val="20"/>
                <w:lang w:eastAsia="zh-CN"/>
              </w:rPr>
              <w:t>（</w:t>
            </w:r>
            <w:r>
              <w:rPr>
                <w:rFonts w:hint="eastAsia" w:ascii="宋体" w:hAnsi="宋体" w:cs="宋体"/>
                <w:sz w:val="20"/>
                <w:szCs w:val="20"/>
                <w:lang w:val="en-US" w:eastAsia="zh-CN"/>
              </w:rPr>
              <w:t>分值20分</w:t>
            </w:r>
            <w:r>
              <w:rPr>
                <w:rFonts w:hint="eastAsia" w:ascii="宋体" w:hAnsi="宋体" w:cs="宋体"/>
                <w:sz w:val="20"/>
                <w:szCs w:val="20"/>
                <w:lang w:eastAsia="zh-CN"/>
              </w:rPr>
              <w:t>）</w:t>
            </w:r>
          </w:p>
        </w:tc>
        <w:tc>
          <w:tcPr>
            <w:tcW w:w="0" w:type="auto"/>
            <w:vMerge w:val="restart"/>
            <w:tcBorders>
              <w:top w:val="single" w:color="auto" w:sz="4" w:space="0"/>
              <w:left w:val="single" w:color="auto" w:sz="4" w:space="0"/>
              <w:right w:val="single" w:color="auto" w:sz="4" w:space="0"/>
            </w:tcBorders>
            <w:noWrap w:val="0"/>
            <w:textDirection w:val="tbRlV"/>
            <w:vAlign w:val="center"/>
          </w:tcPr>
          <w:p w14:paraId="4BB82DF8">
            <w:pPr>
              <w:ind w:left="113" w:right="113"/>
              <w:jc w:val="center"/>
              <w:rPr>
                <w:rFonts w:hint="eastAsia" w:ascii="宋体" w:hAnsi="宋体" w:eastAsia="宋体" w:cs="宋体"/>
                <w:sz w:val="20"/>
                <w:szCs w:val="20"/>
              </w:rPr>
            </w:pPr>
            <w:r>
              <w:rPr>
                <w:rFonts w:hint="eastAsia" w:ascii="宋体" w:hAnsi="宋体" w:eastAsia="宋体" w:cs="宋体"/>
                <w:sz w:val="20"/>
                <w:szCs w:val="20"/>
              </w:rPr>
              <w:t>消火栓控制柜（箱）</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0D887EE">
            <w:pPr>
              <w:rPr>
                <w:rFonts w:hint="eastAsia" w:ascii="宋体" w:hAnsi="宋体" w:eastAsia="宋体" w:cs="宋体"/>
                <w:sz w:val="20"/>
                <w:szCs w:val="20"/>
              </w:rPr>
            </w:pPr>
            <w:r>
              <w:rPr>
                <w:rFonts w:hint="eastAsia" w:ascii="宋体" w:hAnsi="宋体" w:eastAsia="宋体" w:cs="宋体"/>
                <w:sz w:val="20"/>
                <w:szCs w:val="20"/>
              </w:rPr>
              <w:t>各类指示灯[含电源、信号]</w:t>
            </w:r>
          </w:p>
        </w:tc>
        <w:tc>
          <w:tcPr>
            <w:tcW w:w="5941" w:type="dxa"/>
            <w:tcBorders>
              <w:top w:val="single" w:color="auto" w:sz="4" w:space="0"/>
              <w:left w:val="single" w:color="auto" w:sz="4" w:space="0"/>
              <w:bottom w:val="single" w:color="auto" w:sz="4" w:space="0"/>
              <w:right w:val="single" w:color="auto" w:sz="4" w:space="0"/>
            </w:tcBorders>
            <w:noWrap w:val="0"/>
            <w:vAlign w:val="center"/>
          </w:tcPr>
          <w:p w14:paraId="37E51BDB">
            <w:pPr>
              <w:rPr>
                <w:rFonts w:hint="eastAsia" w:ascii="宋体" w:hAnsi="宋体" w:eastAsia="宋体" w:cs="宋体"/>
                <w:sz w:val="20"/>
                <w:szCs w:val="20"/>
              </w:rPr>
            </w:pPr>
            <w:r>
              <w:rPr>
                <w:rFonts w:hint="eastAsia" w:ascii="宋体" w:hAnsi="宋体" w:eastAsia="宋体" w:cs="宋体"/>
                <w:sz w:val="20"/>
                <w:szCs w:val="20"/>
              </w:rPr>
              <w:t>各类指示灯指示状态正常</w:t>
            </w:r>
          </w:p>
        </w:tc>
        <w:tc>
          <w:tcPr>
            <w:tcW w:w="1669" w:type="dxa"/>
            <w:tcBorders>
              <w:top w:val="single" w:color="auto" w:sz="4" w:space="0"/>
              <w:left w:val="single" w:color="auto" w:sz="4" w:space="0"/>
              <w:bottom w:val="single" w:color="auto" w:sz="4" w:space="0"/>
              <w:right w:val="single" w:color="auto" w:sz="4" w:space="0"/>
            </w:tcBorders>
            <w:noWrap w:val="0"/>
            <w:vAlign w:val="center"/>
          </w:tcPr>
          <w:p w14:paraId="5B3C33FE">
            <w:pPr>
              <w:rPr>
                <w:rFonts w:hint="eastAsia" w:ascii="宋体" w:hAnsi="宋体" w:eastAsia="宋体" w:cs="宋体"/>
                <w:sz w:val="20"/>
                <w:szCs w:val="20"/>
              </w:rPr>
            </w:pPr>
            <w:r>
              <w:rPr>
                <w:rFonts w:hint="eastAsia" w:ascii="宋体" w:hAnsi="宋体" w:eastAsia="宋体" w:cs="宋体"/>
                <w:sz w:val="20"/>
                <w:szCs w:val="20"/>
              </w:rPr>
              <w:t>状态不正常每一处扣1分</w:t>
            </w:r>
          </w:p>
        </w:tc>
        <w:tc>
          <w:tcPr>
            <w:tcW w:w="682" w:type="dxa"/>
            <w:tcBorders>
              <w:top w:val="single" w:color="auto" w:sz="4" w:space="0"/>
              <w:left w:val="single" w:color="auto" w:sz="4" w:space="0"/>
              <w:bottom w:val="single" w:color="auto" w:sz="4" w:space="0"/>
              <w:right w:val="single" w:color="auto" w:sz="4" w:space="0"/>
            </w:tcBorders>
            <w:noWrap w:val="0"/>
            <w:vAlign w:val="top"/>
          </w:tcPr>
          <w:p w14:paraId="024EE27C">
            <w:pPr>
              <w:jc w:val="center"/>
              <w:rPr>
                <w:rFonts w:hint="eastAsia" w:ascii="宋体" w:hAnsi="宋体" w:eastAsia="宋体" w:cs="宋体"/>
                <w:b/>
                <w:sz w:val="20"/>
                <w:szCs w:val="20"/>
              </w:rPr>
            </w:pPr>
            <w:r>
              <w:rPr>
                <w:rFonts w:hint="eastAsia" w:ascii="宋体" w:hAnsi="宋体" w:eastAsia="宋体" w:cs="宋体"/>
                <w:b/>
                <w:sz w:val="20"/>
                <w:szCs w:val="20"/>
              </w:rPr>
              <w:t>ⅴ</w:t>
            </w:r>
          </w:p>
        </w:tc>
        <w:tc>
          <w:tcPr>
            <w:tcW w:w="808" w:type="dxa"/>
            <w:tcBorders>
              <w:top w:val="single" w:color="auto" w:sz="4" w:space="0"/>
              <w:left w:val="single" w:color="auto" w:sz="4" w:space="0"/>
              <w:bottom w:val="single" w:color="auto" w:sz="4" w:space="0"/>
              <w:right w:val="single" w:color="auto" w:sz="4" w:space="0"/>
            </w:tcBorders>
            <w:noWrap w:val="0"/>
            <w:vAlign w:val="top"/>
          </w:tcPr>
          <w:p w14:paraId="2214C785">
            <w:pPr>
              <w:jc w:val="center"/>
              <w:rPr>
                <w:rFonts w:hint="eastAsia" w:ascii="宋体" w:hAnsi="宋体" w:eastAsia="宋体" w:cs="宋体"/>
                <w:sz w:val="20"/>
                <w:szCs w:val="20"/>
              </w:rPr>
            </w:pPr>
          </w:p>
        </w:tc>
        <w:tc>
          <w:tcPr>
            <w:tcW w:w="563" w:type="dxa"/>
            <w:tcBorders>
              <w:top w:val="single" w:color="auto" w:sz="4" w:space="0"/>
              <w:left w:val="single" w:color="auto" w:sz="4" w:space="0"/>
              <w:bottom w:val="single" w:color="auto" w:sz="4" w:space="0"/>
              <w:right w:val="single" w:color="auto" w:sz="4" w:space="0"/>
            </w:tcBorders>
            <w:noWrap w:val="0"/>
            <w:vAlign w:val="top"/>
          </w:tcPr>
          <w:p w14:paraId="17A8D000">
            <w:pPr>
              <w:jc w:val="center"/>
              <w:rPr>
                <w:rFonts w:hint="eastAsia" w:ascii="宋体" w:hAnsi="宋体" w:eastAsia="宋体" w:cs="宋体"/>
                <w:sz w:val="20"/>
                <w:szCs w:val="20"/>
              </w:rPr>
            </w:pPr>
          </w:p>
        </w:tc>
      </w:tr>
      <w:tr w14:paraId="20A9E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6" w:hRule="atLeast"/>
          <w:jc w:val="center"/>
        </w:trPr>
        <w:tc>
          <w:tcPr>
            <w:tcW w:w="0" w:type="auto"/>
            <w:vMerge w:val="continue"/>
            <w:tcBorders>
              <w:left w:val="single" w:color="auto" w:sz="4" w:space="0"/>
              <w:right w:val="single" w:color="auto" w:sz="4" w:space="0"/>
            </w:tcBorders>
            <w:noWrap w:val="0"/>
            <w:vAlign w:val="center"/>
          </w:tcPr>
          <w:p w14:paraId="3C5635AF">
            <w:pPr>
              <w:widowControl/>
              <w:jc w:val="left"/>
              <w:rPr>
                <w:rFonts w:hint="eastAsia" w:ascii="宋体" w:hAnsi="宋体" w:eastAsia="宋体" w:cs="宋体"/>
                <w:sz w:val="20"/>
                <w:szCs w:val="20"/>
              </w:rPr>
            </w:pPr>
          </w:p>
        </w:tc>
        <w:tc>
          <w:tcPr>
            <w:tcW w:w="0" w:type="auto"/>
            <w:vMerge w:val="continue"/>
            <w:tcBorders>
              <w:left w:val="single" w:color="auto" w:sz="4" w:space="0"/>
              <w:right w:val="single" w:color="auto" w:sz="4" w:space="0"/>
            </w:tcBorders>
            <w:noWrap w:val="0"/>
            <w:vAlign w:val="center"/>
          </w:tcPr>
          <w:p w14:paraId="661C50EA">
            <w:pPr>
              <w:widowControl/>
              <w:jc w:val="left"/>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5543E25E">
            <w:pPr>
              <w:rPr>
                <w:rFonts w:hint="eastAsia" w:ascii="宋体" w:hAnsi="宋体" w:eastAsia="宋体" w:cs="宋体"/>
                <w:sz w:val="20"/>
                <w:szCs w:val="20"/>
              </w:rPr>
            </w:pPr>
            <w:r>
              <w:rPr>
                <w:rFonts w:hint="eastAsia" w:ascii="宋体" w:hAnsi="宋体" w:eastAsia="宋体" w:cs="宋体"/>
                <w:sz w:val="20"/>
                <w:szCs w:val="20"/>
              </w:rPr>
              <w:t>各类开关</w:t>
            </w:r>
          </w:p>
        </w:tc>
        <w:tc>
          <w:tcPr>
            <w:tcW w:w="5941" w:type="dxa"/>
            <w:tcBorders>
              <w:top w:val="single" w:color="auto" w:sz="4" w:space="0"/>
              <w:left w:val="single" w:color="auto" w:sz="4" w:space="0"/>
              <w:bottom w:val="single" w:color="auto" w:sz="4" w:space="0"/>
              <w:right w:val="single" w:color="auto" w:sz="4" w:space="0"/>
            </w:tcBorders>
            <w:noWrap w:val="0"/>
            <w:vAlign w:val="top"/>
          </w:tcPr>
          <w:p w14:paraId="44DE9AD4">
            <w:pPr>
              <w:rPr>
                <w:rFonts w:hint="eastAsia" w:ascii="宋体" w:hAnsi="宋体" w:eastAsia="宋体" w:cs="宋体"/>
                <w:sz w:val="20"/>
                <w:szCs w:val="20"/>
              </w:rPr>
            </w:pPr>
            <w:r>
              <w:rPr>
                <w:rFonts w:hint="eastAsia" w:ascii="宋体" w:hAnsi="宋体" w:eastAsia="宋体" w:cs="宋体"/>
                <w:sz w:val="20"/>
                <w:szCs w:val="20"/>
              </w:rPr>
              <w:t>开关功能标识清晰、所掷位置正确</w:t>
            </w:r>
          </w:p>
        </w:tc>
        <w:tc>
          <w:tcPr>
            <w:tcW w:w="1669" w:type="dxa"/>
            <w:tcBorders>
              <w:top w:val="single" w:color="auto" w:sz="4" w:space="0"/>
              <w:left w:val="single" w:color="auto" w:sz="4" w:space="0"/>
              <w:bottom w:val="single" w:color="auto" w:sz="4" w:space="0"/>
              <w:right w:val="single" w:color="auto" w:sz="4" w:space="0"/>
            </w:tcBorders>
            <w:noWrap w:val="0"/>
            <w:vAlign w:val="center"/>
          </w:tcPr>
          <w:p w14:paraId="2001D124">
            <w:pPr>
              <w:rPr>
                <w:rFonts w:hint="eastAsia" w:ascii="宋体" w:hAnsi="宋体" w:eastAsia="宋体" w:cs="宋体"/>
                <w:sz w:val="20"/>
                <w:szCs w:val="20"/>
              </w:rPr>
            </w:pPr>
            <w:r>
              <w:rPr>
                <w:rFonts w:hint="eastAsia" w:ascii="宋体" w:hAnsi="宋体" w:eastAsia="宋体" w:cs="宋体"/>
                <w:sz w:val="20"/>
                <w:szCs w:val="20"/>
              </w:rPr>
              <w:t>位置不正确每处扣0.5分</w:t>
            </w:r>
          </w:p>
        </w:tc>
        <w:tc>
          <w:tcPr>
            <w:tcW w:w="682" w:type="dxa"/>
            <w:tcBorders>
              <w:top w:val="single" w:color="auto" w:sz="4" w:space="0"/>
              <w:left w:val="single" w:color="auto" w:sz="4" w:space="0"/>
              <w:bottom w:val="single" w:color="auto" w:sz="4" w:space="0"/>
              <w:right w:val="single" w:color="auto" w:sz="4" w:space="0"/>
            </w:tcBorders>
            <w:noWrap w:val="0"/>
            <w:vAlign w:val="top"/>
          </w:tcPr>
          <w:p w14:paraId="10003830">
            <w:pPr>
              <w:jc w:val="center"/>
              <w:rPr>
                <w:rFonts w:hint="eastAsia" w:ascii="宋体" w:hAnsi="宋体" w:eastAsia="宋体" w:cs="宋体"/>
                <w:b/>
                <w:sz w:val="20"/>
                <w:szCs w:val="20"/>
              </w:rPr>
            </w:pPr>
            <w:r>
              <w:rPr>
                <w:rFonts w:hint="eastAsia" w:ascii="宋体" w:hAnsi="宋体" w:eastAsia="宋体" w:cs="宋体"/>
                <w:b/>
                <w:sz w:val="20"/>
                <w:szCs w:val="20"/>
              </w:rPr>
              <w:t>ⅴ</w:t>
            </w:r>
          </w:p>
        </w:tc>
        <w:tc>
          <w:tcPr>
            <w:tcW w:w="808" w:type="dxa"/>
            <w:tcBorders>
              <w:top w:val="single" w:color="auto" w:sz="4" w:space="0"/>
              <w:left w:val="single" w:color="auto" w:sz="4" w:space="0"/>
              <w:bottom w:val="single" w:color="auto" w:sz="4" w:space="0"/>
              <w:right w:val="single" w:color="auto" w:sz="4" w:space="0"/>
            </w:tcBorders>
            <w:noWrap w:val="0"/>
            <w:vAlign w:val="top"/>
          </w:tcPr>
          <w:p w14:paraId="104EDD18">
            <w:pPr>
              <w:jc w:val="center"/>
              <w:rPr>
                <w:rFonts w:hint="eastAsia" w:ascii="宋体" w:hAnsi="宋体" w:eastAsia="宋体" w:cs="宋体"/>
                <w:sz w:val="20"/>
                <w:szCs w:val="20"/>
              </w:rPr>
            </w:pPr>
          </w:p>
        </w:tc>
        <w:tc>
          <w:tcPr>
            <w:tcW w:w="563" w:type="dxa"/>
            <w:tcBorders>
              <w:top w:val="single" w:color="auto" w:sz="4" w:space="0"/>
              <w:left w:val="single" w:color="auto" w:sz="4" w:space="0"/>
              <w:bottom w:val="single" w:color="auto" w:sz="4" w:space="0"/>
              <w:right w:val="single" w:color="auto" w:sz="4" w:space="0"/>
            </w:tcBorders>
            <w:noWrap w:val="0"/>
            <w:vAlign w:val="top"/>
          </w:tcPr>
          <w:p w14:paraId="6DED58C8">
            <w:pPr>
              <w:jc w:val="center"/>
              <w:rPr>
                <w:rFonts w:hint="eastAsia" w:ascii="宋体" w:hAnsi="宋体" w:eastAsia="宋体" w:cs="宋体"/>
                <w:sz w:val="20"/>
                <w:szCs w:val="20"/>
              </w:rPr>
            </w:pPr>
          </w:p>
        </w:tc>
      </w:tr>
      <w:tr w14:paraId="269ED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jc w:val="center"/>
        </w:trPr>
        <w:tc>
          <w:tcPr>
            <w:tcW w:w="0" w:type="auto"/>
            <w:vMerge w:val="continue"/>
            <w:tcBorders>
              <w:left w:val="single" w:color="auto" w:sz="4" w:space="0"/>
              <w:right w:val="single" w:color="auto" w:sz="4" w:space="0"/>
            </w:tcBorders>
            <w:noWrap w:val="0"/>
            <w:vAlign w:val="center"/>
          </w:tcPr>
          <w:p w14:paraId="3667E360">
            <w:pPr>
              <w:widowControl/>
              <w:jc w:val="left"/>
              <w:rPr>
                <w:rFonts w:hint="eastAsia" w:ascii="宋体" w:hAnsi="宋体" w:eastAsia="宋体" w:cs="宋体"/>
                <w:sz w:val="20"/>
                <w:szCs w:val="20"/>
              </w:rPr>
            </w:pPr>
          </w:p>
        </w:tc>
        <w:tc>
          <w:tcPr>
            <w:tcW w:w="0" w:type="auto"/>
            <w:vMerge w:val="continue"/>
            <w:tcBorders>
              <w:left w:val="single" w:color="auto" w:sz="4" w:space="0"/>
              <w:right w:val="single" w:color="auto" w:sz="4" w:space="0"/>
            </w:tcBorders>
            <w:noWrap w:val="0"/>
            <w:vAlign w:val="center"/>
          </w:tcPr>
          <w:p w14:paraId="03D737F5">
            <w:pPr>
              <w:widowControl/>
              <w:jc w:val="left"/>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0C251A7">
            <w:pPr>
              <w:rPr>
                <w:rFonts w:hint="eastAsia" w:ascii="宋体" w:hAnsi="宋体" w:eastAsia="宋体" w:cs="宋体"/>
                <w:sz w:val="20"/>
                <w:szCs w:val="20"/>
              </w:rPr>
            </w:pPr>
            <w:r>
              <w:rPr>
                <w:rFonts w:hint="eastAsia" w:ascii="宋体" w:hAnsi="宋体" w:eastAsia="宋体" w:cs="宋体"/>
                <w:sz w:val="20"/>
                <w:szCs w:val="20"/>
              </w:rPr>
              <w:t>各类电器触点</w:t>
            </w:r>
          </w:p>
        </w:tc>
        <w:tc>
          <w:tcPr>
            <w:tcW w:w="5941" w:type="dxa"/>
            <w:tcBorders>
              <w:top w:val="single" w:color="auto" w:sz="4" w:space="0"/>
              <w:left w:val="single" w:color="auto" w:sz="4" w:space="0"/>
              <w:bottom w:val="single" w:color="auto" w:sz="4" w:space="0"/>
              <w:right w:val="single" w:color="auto" w:sz="4" w:space="0"/>
            </w:tcBorders>
            <w:noWrap w:val="0"/>
            <w:vAlign w:val="top"/>
          </w:tcPr>
          <w:p w14:paraId="40B0D581">
            <w:pPr>
              <w:rPr>
                <w:rFonts w:hint="eastAsia" w:ascii="宋体" w:hAnsi="宋体" w:eastAsia="宋体" w:cs="宋体"/>
                <w:sz w:val="20"/>
                <w:szCs w:val="20"/>
              </w:rPr>
            </w:pPr>
            <w:r>
              <w:rPr>
                <w:rFonts w:hint="eastAsia" w:ascii="宋体" w:hAnsi="宋体" w:eastAsia="宋体" w:cs="宋体"/>
                <w:sz w:val="20"/>
                <w:szCs w:val="20"/>
              </w:rPr>
              <w:t>各类电器触点光滑完好、无烧损现象</w:t>
            </w:r>
          </w:p>
        </w:tc>
        <w:tc>
          <w:tcPr>
            <w:tcW w:w="1669" w:type="dxa"/>
            <w:tcBorders>
              <w:top w:val="single" w:color="auto" w:sz="4" w:space="0"/>
              <w:left w:val="single" w:color="auto" w:sz="4" w:space="0"/>
              <w:bottom w:val="single" w:color="auto" w:sz="4" w:space="0"/>
              <w:right w:val="single" w:color="auto" w:sz="4" w:space="0"/>
            </w:tcBorders>
            <w:noWrap w:val="0"/>
            <w:vAlign w:val="center"/>
          </w:tcPr>
          <w:p w14:paraId="03689B24">
            <w:pPr>
              <w:rPr>
                <w:rFonts w:hint="eastAsia" w:ascii="宋体" w:hAnsi="宋体" w:eastAsia="宋体" w:cs="宋体"/>
                <w:sz w:val="20"/>
                <w:szCs w:val="20"/>
              </w:rPr>
            </w:pPr>
            <w:r>
              <w:rPr>
                <w:rFonts w:hint="eastAsia" w:ascii="宋体" w:hAnsi="宋体" w:eastAsia="宋体" w:cs="宋体"/>
                <w:sz w:val="20"/>
                <w:szCs w:val="20"/>
              </w:rPr>
              <w:t>不合格每一处扣0.05分</w:t>
            </w:r>
          </w:p>
        </w:tc>
        <w:tc>
          <w:tcPr>
            <w:tcW w:w="682" w:type="dxa"/>
            <w:tcBorders>
              <w:top w:val="single" w:color="auto" w:sz="4" w:space="0"/>
              <w:left w:val="single" w:color="auto" w:sz="4" w:space="0"/>
              <w:bottom w:val="single" w:color="auto" w:sz="4" w:space="0"/>
              <w:right w:val="single" w:color="auto" w:sz="4" w:space="0"/>
            </w:tcBorders>
            <w:noWrap w:val="0"/>
            <w:vAlign w:val="top"/>
          </w:tcPr>
          <w:p w14:paraId="624591BF">
            <w:pPr>
              <w:jc w:val="center"/>
              <w:rPr>
                <w:rFonts w:hint="eastAsia" w:ascii="宋体" w:hAnsi="宋体" w:eastAsia="宋体" w:cs="宋体"/>
                <w:sz w:val="20"/>
                <w:szCs w:val="20"/>
              </w:rPr>
            </w:pPr>
          </w:p>
        </w:tc>
        <w:tc>
          <w:tcPr>
            <w:tcW w:w="808" w:type="dxa"/>
            <w:tcBorders>
              <w:top w:val="single" w:color="auto" w:sz="4" w:space="0"/>
              <w:left w:val="single" w:color="auto" w:sz="4" w:space="0"/>
              <w:bottom w:val="single" w:color="auto" w:sz="4" w:space="0"/>
              <w:right w:val="single" w:color="auto" w:sz="4" w:space="0"/>
            </w:tcBorders>
            <w:noWrap w:val="0"/>
            <w:vAlign w:val="top"/>
          </w:tcPr>
          <w:p w14:paraId="2D241084">
            <w:pPr>
              <w:jc w:val="center"/>
              <w:rPr>
                <w:rFonts w:hint="eastAsia" w:ascii="宋体" w:hAnsi="宋体" w:eastAsia="宋体" w:cs="宋体"/>
                <w:sz w:val="20"/>
                <w:szCs w:val="20"/>
              </w:rPr>
            </w:pPr>
          </w:p>
        </w:tc>
        <w:tc>
          <w:tcPr>
            <w:tcW w:w="563" w:type="dxa"/>
            <w:tcBorders>
              <w:top w:val="single" w:color="auto" w:sz="4" w:space="0"/>
              <w:left w:val="single" w:color="auto" w:sz="4" w:space="0"/>
              <w:bottom w:val="single" w:color="auto" w:sz="4" w:space="0"/>
              <w:right w:val="single" w:color="auto" w:sz="4" w:space="0"/>
            </w:tcBorders>
            <w:noWrap w:val="0"/>
            <w:vAlign w:val="top"/>
          </w:tcPr>
          <w:p w14:paraId="753F74E7">
            <w:pPr>
              <w:jc w:val="center"/>
              <w:rPr>
                <w:rFonts w:hint="eastAsia" w:ascii="宋体" w:hAnsi="宋体" w:eastAsia="宋体" w:cs="宋体"/>
                <w:b/>
                <w:sz w:val="20"/>
                <w:szCs w:val="20"/>
              </w:rPr>
            </w:pPr>
            <w:r>
              <w:rPr>
                <w:rFonts w:hint="eastAsia" w:ascii="宋体" w:hAnsi="宋体" w:eastAsia="宋体" w:cs="宋体"/>
                <w:b/>
                <w:sz w:val="20"/>
                <w:szCs w:val="20"/>
              </w:rPr>
              <w:t>ⅴ</w:t>
            </w:r>
          </w:p>
        </w:tc>
      </w:tr>
      <w:tr w14:paraId="0A927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0" w:type="auto"/>
            <w:vMerge w:val="continue"/>
            <w:tcBorders>
              <w:left w:val="single" w:color="auto" w:sz="4" w:space="0"/>
              <w:right w:val="single" w:color="auto" w:sz="4" w:space="0"/>
            </w:tcBorders>
            <w:noWrap w:val="0"/>
            <w:vAlign w:val="center"/>
          </w:tcPr>
          <w:p w14:paraId="699716F2">
            <w:pPr>
              <w:widowControl/>
              <w:jc w:val="left"/>
              <w:rPr>
                <w:rFonts w:hint="eastAsia" w:ascii="宋体" w:hAnsi="宋体" w:eastAsia="宋体" w:cs="宋体"/>
                <w:sz w:val="20"/>
                <w:szCs w:val="20"/>
              </w:rPr>
            </w:pPr>
          </w:p>
        </w:tc>
        <w:tc>
          <w:tcPr>
            <w:tcW w:w="0" w:type="auto"/>
            <w:vMerge w:val="continue"/>
            <w:tcBorders>
              <w:left w:val="single" w:color="auto" w:sz="4" w:space="0"/>
              <w:right w:val="single" w:color="auto" w:sz="4" w:space="0"/>
            </w:tcBorders>
            <w:noWrap w:val="0"/>
            <w:vAlign w:val="center"/>
          </w:tcPr>
          <w:p w14:paraId="14AE78D0">
            <w:pPr>
              <w:widowControl/>
              <w:jc w:val="left"/>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535E0C45">
            <w:pPr>
              <w:rPr>
                <w:rFonts w:hint="eastAsia" w:ascii="宋体" w:hAnsi="宋体" w:eastAsia="宋体" w:cs="宋体"/>
                <w:sz w:val="20"/>
                <w:szCs w:val="20"/>
              </w:rPr>
            </w:pPr>
            <w:r>
              <w:rPr>
                <w:rFonts w:hint="eastAsia" w:ascii="宋体" w:hAnsi="宋体" w:eastAsia="宋体" w:cs="宋体"/>
                <w:sz w:val="20"/>
                <w:szCs w:val="20"/>
              </w:rPr>
              <w:t>各种器件接线端子及端子接线</w:t>
            </w:r>
          </w:p>
        </w:tc>
        <w:tc>
          <w:tcPr>
            <w:tcW w:w="5941" w:type="dxa"/>
            <w:tcBorders>
              <w:top w:val="single" w:color="auto" w:sz="4" w:space="0"/>
              <w:left w:val="single" w:color="auto" w:sz="4" w:space="0"/>
              <w:bottom w:val="single" w:color="auto" w:sz="4" w:space="0"/>
              <w:right w:val="single" w:color="auto" w:sz="4" w:space="0"/>
            </w:tcBorders>
            <w:noWrap w:val="0"/>
            <w:vAlign w:val="top"/>
          </w:tcPr>
          <w:p w14:paraId="4AE490AC">
            <w:pPr>
              <w:rPr>
                <w:rFonts w:hint="eastAsia" w:ascii="宋体" w:hAnsi="宋体" w:eastAsia="宋体" w:cs="宋体"/>
                <w:sz w:val="20"/>
                <w:szCs w:val="20"/>
              </w:rPr>
            </w:pPr>
            <w:r>
              <w:rPr>
                <w:rFonts w:hint="eastAsia" w:ascii="宋体" w:hAnsi="宋体" w:eastAsia="宋体" w:cs="宋体"/>
                <w:sz w:val="20"/>
                <w:szCs w:val="20"/>
              </w:rPr>
              <w:t>各器件接线端及接线端子接线要连接牢靠，无锈蚀、烧损现象。线端码标识清晰</w:t>
            </w:r>
          </w:p>
        </w:tc>
        <w:tc>
          <w:tcPr>
            <w:tcW w:w="1669" w:type="dxa"/>
            <w:tcBorders>
              <w:top w:val="single" w:color="auto" w:sz="4" w:space="0"/>
              <w:left w:val="single" w:color="auto" w:sz="4" w:space="0"/>
              <w:bottom w:val="single" w:color="auto" w:sz="4" w:space="0"/>
              <w:right w:val="single" w:color="auto" w:sz="4" w:space="0"/>
            </w:tcBorders>
            <w:noWrap w:val="0"/>
            <w:vAlign w:val="center"/>
          </w:tcPr>
          <w:p w14:paraId="57F08DA3">
            <w:pPr>
              <w:rPr>
                <w:rFonts w:hint="eastAsia" w:ascii="宋体" w:hAnsi="宋体" w:eastAsia="宋体" w:cs="宋体"/>
                <w:sz w:val="20"/>
                <w:szCs w:val="20"/>
              </w:rPr>
            </w:pPr>
            <w:r>
              <w:rPr>
                <w:rFonts w:hint="eastAsia" w:ascii="宋体" w:hAnsi="宋体" w:eastAsia="宋体" w:cs="宋体"/>
                <w:sz w:val="20"/>
                <w:szCs w:val="20"/>
              </w:rPr>
              <w:t>不合格每一处扣0.05分</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31C07089">
            <w:pPr>
              <w:jc w:val="center"/>
              <w:rPr>
                <w:rFonts w:hint="eastAsia" w:ascii="宋体" w:hAnsi="宋体" w:eastAsia="宋体" w:cs="宋体"/>
                <w:sz w:val="20"/>
                <w:szCs w:val="20"/>
              </w:rPr>
            </w:pPr>
          </w:p>
        </w:tc>
        <w:tc>
          <w:tcPr>
            <w:tcW w:w="808" w:type="dxa"/>
            <w:tcBorders>
              <w:top w:val="single" w:color="auto" w:sz="4" w:space="0"/>
              <w:left w:val="single" w:color="auto" w:sz="4" w:space="0"/>
              <w:bottom w:val="single" w:color="auto" w:sz="4" w:space="0"/>
              <w:right w:val="single" w:color="auto" w:sz="4" w:space="0"/>
            </w:tcBorders>
            <w:noWrap w:val="0"/>
            <w:vAlign w:val="center"/>
          </w:tcPr>
          <w:p w14:paraId="1BA6401F">
            <w:pPr>
              <w:jc w:val="center"/>
              <w:rPr>
                <w:rFonts w:hint="eastAsia" w:ascii="宋体" w:hAnsi="宋体" w:eastAsia="宋体" w:cs="宋体"/>
                <w:sz w:val="20"/>
                <w:szCs w:val="20"/>
              </w:rPr>
            </w:pPr>
          </w:p>
        </w:tc>
        <w:tc>
          <w:tcPr>
            <w:tcW w:w="563" w:type="dxa"/>
            <w:tcBorders>
              <w:top w:val="single" w:color="auto" w:sz="4" w:space="0"/>
              <w:left w:val="single" w:color="auto" w:sz="4" w:space="0"/>
              <w:bottom w:val="single" w:color="auto" w:sz="4" w:space="0"/>
              <w:right w:val="single" w:color="auto" w:sz="4" w:space="0"/>
            </w:tcBorders>
            <w:noWrap w:val="0"/>
            <w:vAlign w:val="center"/>
          </w:tcPr>
          <w:p w14:paraId="13C3F08B">
            <w:pPr>
              <w:jc w:val="center"/>
              <w:rPr>
                <w:rFonts w:hint="eastAsia" w:ascii="宋体" w:hAnsi="宋体" w:eastAsia="宋体" w:cs="宋体"/>
                <w:b/>
                <w:sz w:val="20"/>
                <w:szCs w:val="20"/>
              </w:rPr>
            </w:pPr>
            <w:r>
              <w:rPr>
                <w:rFonts w:hint="eastAsia" w:ascii="宋体" w:hAnsi="宋体" w:eastAsia="宋体" w:cs="宋体"/>
                <w:b/>
                <w:sz w:val="20"/>
                <w:szCs w:val="20"/>
              </w:rPr>
              <w:t>ⅴ</w:t>
            </w:r>
          </w:p>
        </w:tc>
      </w:tr>
      <w:tr w14:paraId="531B9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0" w:type="auto"/>
            <w:vMerge w:val="continue"/>
            <w:tcBorders>
              <w:left w:val="single" w:color="auto" w:sz="4" w:space="0"/>
              <w:right w:val="single" w:color="auto" w:sz="4" w:space="0"/>
            </w:tcBorders>
            <w:noWrap w:val="0"/>
            <w:vAlign w:val="center"/>
          </w:tcPr>
          <w:p w14:paraId="0D7FFF0D">
            <w:pPr>
              <w:widowControl/>
              <w:jc w:val="left"/>
              <w:rPr>
                <w:rFonts w:hint="eastAsia" w:ascii="宋体" w:hAnsi="宋体" w:eastAsia="宋体" w:cs="宋体"/>
                <w:sz w:val="20"/>
                <w:szCs w:val="20"/>
              </w:rPr>
            </w:pPr>
          </w:p>
        </w:tc>
        <w:tc>
          <w:tcPr>
            <w:tcW w:w="0" w:type="auto"/>
            <w:vMerge w:val="continue"/>
            <w:tcBorders>
              <w:left w:val="single" w:color="auto" w:sz="4" w:space="0"/>
              <w:right w:val="single" w:color="auto" w:sz="4" w:space="0"/>
            </w:tcBorders>
            <w:noWrap w:val="0"/>
            <w:vAlign w:val="center"/>
          </w:tcPr>
          <w:p w14:paraId="6745F394">
            <w:pPr>
              <w:widowControl/>
              <w:jc w:val="left"/>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0319D32F">
            <w:pPr>
              <w:rPr>
                <w:rFonts w:hint="eastAsia" w:ascii="宋体" w:hAnsi="宋体" w:eastAsia="宋体" w:cs="宋体"/>
                <w:sz w:val="20"/>
                <w:szCs w:val="20"/>
              </w:rPr>
            </w:pPr>
            <w:r>
              <w:rPr>
                <w:rFonts w:hint="eastAsia" w:ascii="宋体" w:hAnsi="宋体" w:eastAsia="宋体" w:cs="宋体"/>
                <w:sz w:val="20"/>
                <w:szCs w:val="20"/>
              </w:rPr>
              <w:t>控制柜（箱）卫生状况</w:t>
            </w:r>
          </w:p>
        </w:tc>
        <w:tc>
          <w:tcPr>
            <w:tcW w:w="5941" w:type="dxa"/>
            <w:tcBorders>
              <w:top w:val="single" w:color="auto" w:sz="4" w:space="0"/>
              <w:left w:val="single" w:color="auto" w:sz="4" w:space="0"/>
              <w:bottom w:val="single" w:color="auto" w:sz="4" w:space="0"/>
              <w:right w:val="single" w:color="auto" w:sz="4" w:space="0"/>
            </w:tcBorders>
            <w:noWrap w:val="0"/>
            <w:vAlign w:val="center"/>
          </w:tcPr>
          <w:p w14:paraId="6774724F">
            <w:pPr>
              <w:rPr>
                <w:rFonts w:hint="eastAsia" w:ascii="宋体" w:hAnsi="宋体" w:eastAsia="宋体" w:cs="宋体"/>
                <w:sz w:val="20"/>
                <w:szCs w:val="20"/>
              </w:rPr>
            </w:pPr>
            <w:r>
              <w:rPr>
                <w:rFonts w:hint="eastAsia" w:ascii="宋体" w:hAnsi="宋体" w:eastAsia="宋体" w:cs="宋体"/>
                <w:sz w:val="20"/>
                <w:szCs w:val="20"/>
              </w:rPr>
              <w:t>控制柜（箱）表面、内部无尘</w:t>
            </w:r>
          </w:p>
        </w:tc>
        <w:tc>
          <w:tcPr>
            <w:tcW w:w="1669" w:type="dxa"/>
            <w:tcBorders>
              <w:top w:val="single" w:color="auto" w:sz="4" w:space="0"/>
              <w:left w:val="single" w:color="auto" w:sz="4" w:space="0"/>
              <w:bottom w:val="single" w:color="auto" w:sz="4" w:space="0"/>
              <w:right w:val="single" w:color="auto" w:sz="4" w:space="0"/>
            </w:tcBorders>
            <w:noWrap w:val="0"/>
            <w:vAlign w:val="center"/>
          </w:tcPr>
          <w:p w14:paraId="766D0D5B">
            <w:pPr>
              <w:rPr>
                <w:rFonts w:hint="eastAsia" w:ascii="宋体" w:hAnsi="宋体" w:eastAsia="宋体" w:cs="宋体"/>
                <w:sz w:val="20"/>
                <w:szCs w:val="20"/>
              </w:rPr>
            </w:pPr>
            <w:r>
              <w:rPr>
                <w:rFonts w:hint="eastAsia" w:ascii="宋体" w:hAnsi="宋体" w:eastAsia="宋体" w:cs="宋体"/>
                <w:sz w:val="20"/>
                <w:szCs w:val="20"/>
              </w:rPr>
              <w:t>不清洁每一处扣0.5分</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2B98B933">
            <w:pPr>
              <w:jc w:val="center"/>
              <w:rPr>
                <w:rFonts w:hint="eastAsia" w:ascii="宋体" w:hAnsi="宋体" w:eastAsia="宋体" w:cs="宋体"/>
                <w:sz w:val="20"/>
                <w:szCs w:val="20"/>
              </w:rPr>
            </w:pPr>
          </w:p>
        </w:tc>
        <w:tc>
          <w:tcPr>
            <w:tcW w:w="808" w:type="dxa"/>
            <w:tcBorders>
              <w:top w:val="single" w:color="auto" w:sz="4" w:space="0"/>
              <w:left w:val="single" w:color="auto" w:sz="4" w:space="0"/>
              <w:bottom w:val="single" w:color="auto" w:sz="4" w:space="0"/>
              <w:right w:val="single" w:color="auto" w:sz="4" w:space="0"/>
            </w:tcBorders>
            <w:noWrap w:val="0"/>
            <w:vAlign w:val="center"/>
          </w:tcPr>
          <w:p w14:paraId="3615427D">
            <w:pPr>
              <w:jc w:val="center"/>
              <w:rPr>
                <w:rFonts w:hint="eastAsia" w:ascii="宋体" w:hAnsi="宋体" w:eastAsia="宋体" w:cs="宋体"/>
                <w:b/>
                <w:sz w:val="20"/>
                <w:szCs w:val="20"/>
              </w:rPr>
            </w:pPr>
            <w:r>
              <w:rPr>
                <w:rFonts w:hint="eastAsia" w:ascii="宋体" w:hAnsi="宋体" w:eastAsia="宋体" w:cs="宋体"/>
                <w:b/>
                <w:sz w:val="20"/>
                <w:szCs w:val="20"/>
              </w:rPr>
              <w:t>ⅴ</w:t>
            </w:r>
          </w:p>
        </w:tc>
        <w:tc>
          <w:tcPr>
            <w:tcW w:w="563" w:type="dxa"/>
            <w:tcBorders>
              <w:top w:val="single" w:color="auto" w:sz="4" w:space="0"/>
              <w:left w:val="single" w:color="auto" w:sz="4" w:space="0"/>
              <w:bottom w:val="single" w:color="auto" w:sz="4" w:space="0"/>
              <w:right w:val="single" w:color="auto" w:sz="4" w:space="0"/>
            </w:tcBorders>
            <w:noWrap w:val="0"/>
            <w:vAlign w:val="center"/>
          </w:tcPr>
          <w:p w14:paraId="1D120583">
            <w:pPr>
              <w:jc w:val="center"/>
              <w:rPr>
                <w:rFonts w:hint="eastAsia" w:ascii="宋体" w:hAnsi="宋体" w:eastAsia="宋体" w:cs="宋体"/>
                <w:sz w:val="20"/>
                <w:szCs w:val="20"/>
              </w:rPr>
            </w:pPr>
          </w:p>
        </w:tc>
      </w:tr>
      <w:tr w14:paraId="3C10E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7" w:hRule="atLeast"/>
          <w:jc w:val="center"/>
        </w:trPr>
        <w:tc>
          <w:tcPr>
            <w:tcW w:w="0" w:type="auto"/>
            <w:vMerge w:val="continue"/>
            <w:tcBorders>
              <w:left w:val="single" w:color="auto" w:sz="4" w:space="0"/>
              <w:right w:val="single" w:color="auto" w:sz="4" w:space="0"/>
            </w:tcBorders>
            <w:noWrap w:val="0"/>
            <w:vAlign w:val="center"/>
          </w:tcPr>
          <w:p w14:paraId="3BD092EB">
            <w:pPr>
              <w:widowControl/>
              <w:jc w:val="left"/>
              <w:rPr>
                <w:rFonts w:hint="eastAsia" w:ascii="宋体" w:hAnsi="宋体" w:eastAsia="宋体" w:cs="宋体"/>
                <w:sz w:val="20"/>
                <w:szCs w:val="20"/>
              </w:rPr>
            </w:pPr>
          </w:p>
        </w:tc>
        <w:tc>
          <w:tcPr>
            <w:tcW w:w="0" w:type="auto"/>
            <w:vMerge w:val="continue"/>
            <w:tcBorders>
              <w:left w:val="single" w:color="auto" w:sz="4" w:space="0"/>
              <w:right w:val="single" w:color="auto" w:sz="4" w:space="0"/>
            </w:tcBorders>
            <w:noWrap w:val="0"/>
            <w:vAlign w:val="center"/>
          </w:tcPr>
          <w:p w14:paraId="6685237C">
            <w:pPr>
              <w:widowControl/>
              <w:jc w:val="left"/>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2A6E494">
            <w:pPr>
              <w:rPr>
                <w:rFonts w:hint="eastAsia" w:ascii="宋体" w:hAnsi="宋体" w:eastAsia="宋体" w:cs="宋体"/>
                <w:sz w:val="20"/>
                <w:szCs w:val="20"/>
              </w:rPr>
            </w:pPr>
            <w:r>
              <w:rPr>
                <w:rFonts w:hint="eastAsia" w:ascii="宋体" w:hAnsi="宋体" w:eastAsia="宋体" w:cs="宋体"/>
                <w:sz w:val="20"/>
                <w:szCs w:val="20"/>
              </w:rPr>
              <w:t>时间继电器，热保护继电器的整定值设置正确</w:t>
            </w:r>
          </w:p>
        </w:tc>
        <w:tc>
          <w:tcPr>
            <w:tcW w:w="5941" w:type="dxa"/>
            <w:tcBorders>
              <w:top w:val="single" w:color="auto" w:sz="4" w:space="0"/>
              <w:left w:val="single" w:color="auto" w:sz="4" w:space="0"/>
              <w:bottom w:val="single" w:color="auto" w:sz="4" w:space="0"/>
              <w:right w:val="single" w:color="auto" w:sz="4" w:space="0"/>
            </w:tcBorders>
            <w:noWrap w:val="0"/>
            <w:vAlign w:val="center"/>
          </w:tcPr>
          <w:p w14:paraId="36104BF7">
            <w:pPr>
              <w:rPr>
                <w:rFonts w:hint="eastAsia" w:ascii="宋体" w:hAnsi="宋体" w:eastAsia="宋体" w:cs="宋体"/>
                <w:sz w:val="20"/>
                <w:szCs w:val="20"/>
              </w:rPr>
            </w:pPr>
            <w:r>
              <w:rPr>
                <w:rFonts w:hint="eastAsia" w:ascii="宋体" w:hAnsi="宋体" w:eastAsia="宋体" w:cs="宋体"/>
                <w:sz w:val="20"/>
                <w:szCs w:val="20"/>
              </w:rPr>
              <w:t>“自动”、“备用”泵转换时间继电器的整定值设置为5秒；星—三角降压起动时间继电器的整定值根据降压起动过程具体设定。热保护继电器的电流整定值为电动机额定电流的1.25倍（通常）</w:t>
            </w:r>
          </w:p>
        </w:tc>
        <w:tc>
          <w:tcPr>
            <w:tcW w:w="1669" w:type="dxa"/>
            <w:tcBorders>
              <w:top w:val="single" w:color="auto" w:sz="4" w:space="0"/>
              <w:left w:val="single" w:color="auto" w:sz="4" w:space="0"/>
              <w:bottom w:val="single" w:color="auto" w:sz="4" w:space="0"/>
              <w:right w:val="single" w:color="auto" w:sz="4" w:space="0"/>
            </w:tcBorders>
            <w:noWrap w:val="0"/>
            <w:vAlign w:val="center"/>
          </w:tcPr>
          <w:p w14:paraId="043696D4">
            <w:pPr>
              <w:rPr>
                <w:rFonts w:hint="eastAsia" w:ascii="宋体" w:hAnsi="宋体" w:eastAsia="宋体" w:cs="宋体"/>
                <w:sz w:val="20"/>
                <w:szCs w:val="20"/>
              </w:rPr>
            </w:pPr>
            <w:r>
              <w:rPr>
                <w:rFonts w:hint="eastAsia" w:ascii="宋体" w:hAnsi="宋体" w:eastAsia="宋体" w:cs="宋体"/>
                <w:sz w:val="20"/>
                <w:szCs w:val="20"/>
              </w:rPr>
              <w:t>整定值设置不准确每一处扣1分</w:t>
            </w:r>
          </w:p>
        </w:tc>
        <w:tc>
          <w:tcPr>
            <w:tcW w:w="2053" w:type="dxa"/>
            <w:gridSpan w:val="3"/>
            <w:tcBorders>
              <w:top w:val="single" w:color="auto" w:sz="4" w:space="0"/>
              <w:left w:val="single" w:color="auto" w:sz="4" w:space="0"/>
              <w:bottom w:val="single" w:color="auto" w:sz="4" w:space="0"/>
              <w:right w:val="single" w:color="auto" w:sz="4" w:space="0"/>
            </w:tcBorders>
            <w:noWrap w:val="0"/>
            <w:vAlign w:val="center"/>
          </w:tcPr>
          <w:p w14:paraId="32CF339A">
            <w:pPr>
              <w:jc w:val="center"/>
              <w:rPr>
                <w:rFonts w:hint="eastAsia" w:ascii="宋体" w:hAnsi="宋体" w:eastAsia="宋体" w:cs="宋体"/>
                <w:sz w:val="20"/>
                <w:szCs w:val="20"/>
              </w:rPr>
            </w:pPr>
            <w:r>
              <w:rPr>
                <w:rFonts w:hint="eastAsia" w:ascii="宋体" w:hAnsi="宋体" w:eastAsia="宋体" w:cs="宋体"/>
                <w:sz w:val="20"/>
                <w:szCs w:val="20"/>
              </w:rPr>
              <w:t>每年检查一次</w:t>
            </w:r>
          </w:p>
        </w:tc>
      </w:tr>
      <w:tr w14:paraId="7B767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0" w:type="auto"/>
            <w:vMerge w:val="continue"/>
            <w:tcBorders>
              <w:left w:val="single" w:color="auto" w:sz="4" w:space="0"/>
              <w:right w:val="single" w:color="auto" w:sz="4" w:space="0"/>
            </w:tcBorders>
            <w:noWrap w:val="0"/>
            <w:vAlign w:val="center"/>
          </w:tcPr>
          <w:p w14:paraId="68D5305C">
            <w:pPr>
              <w:widowControl/>
              <w:jc w:val="left"/>
              <w:rPr>
                <w:rFonts w:hint="eastAsia" w:ascii="宋体" w:hAnsi="宋体" w:eastAsia="宋体" w:cs="宋体"/>
                <w:sz w:val="20"/>
                <w:szCs w:val="20"/>
              </w:rPr>
            </w:pPr>
          </w:p>
        </w:tc>
        <w:tc>
          <w:tcPr>
            <w:tcW w:w="0" w:type="auto"/>
            <w:vMerge w:val="continue"/>
            <w:tcBorders>
              <w:left w:val="single" w:color="auto" w:sz="4" w:space="0"/>
              <w:bottom w:val="single" w:color="auto" w:sz="4" w:space="0"/>
              <w:right w:val="single" w:color="auto" w:sz="4" w:space="0"/>
            </w:tcBorders>
            <w:noWrap w:val="0"/>
            <w:vAlign w:val="center"/>
          </w:tcPr>
          <w:p w14:paraId="33CB8E85">
            <w:pPr>
              <w:widowControl/>
              <w:jc w:val="left"/>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5133A66E">
            <w:pPr>
              <w:rPr>
                <w:rFonts w:hint="eastAsia" w:ascii="宋体" w:hAnsi="宋体" w:eastAsia="宋体" w:cs="宋体"/>
                <w:sz w:val="20"/>
                <w:szCs w:val="20"/>
              </w:rPr>
            </w:pPr>
            <w:r>
              <w:rPr>
                <w:rFonts w:hint="eastAsia" w:ascii="宋体" w:hAnsi="宋体" w:eastAsia="宋体" w:cs="宋体"/>
                <w:sz w:val="20"/>
                <w:szCs w:val="20"/>
              </w:rPr>
              <w:t>“自动”、“备用”控制状态转换测试</w:t>
            </w:r>
          </w:p>
        </w:tc>
        <w:tc>
          <w:tcPr>
            <w:tcW w:w="5941" w:type="dxa"/>
            <w:tcBorders>
              <w:top w:val="single" w:color="auto" w:sz="4" w:space="0"/>
              <w:left w:val="single" w:color="auto" w:sz="4" w:space="0"/>
              <w:bottom w:val="single" w:color="auto" w:sz="4" w:space="0"/>
              <w:right w:val="single" w:color="auto" w:sz="4" w:space="0"/>
            </w:tcBorders>
            <w:noWrap w:val="0"/>
            <w:vAlign w:val="center"/>
          </w:tcPr>
          <w:p w14:paraId="0A00CE67">
            <w:pPr>
              <w:rPr>
                <w:rFonts w:hint="eastAsia" w:ascii="宋体" w:hAnsi="宋体" w:eastAsia="宋体" w:cs="宋体"/>
                <w:sz w:val="20"/>
                <w:szCs w:val="20"/>
              </w:rPr>
            </w:pPr>
            <w:r>
              <w:rPr>
                <w:rFonts w:hint="eastAsia" w:ascii="宋体" w:hAnsi="宋体" w:eastAsia="宋体" w:cs="宋体"/>
                <w:sz w:val="20"/>
                <w:szCs w:val="20"/>
              </w:rPr>
              <w:t>在“自动”状态下，模拟电源故障，能够从“自动”状态转换到“备用”状态</w:t>
            </w:r>
          </w:p>
        </w:tc>
        <w:tc>
          <w:tcPr>
            <w:tcW w:w="1669" w:type="dxa"/>
            <w:tcBorders>
              <w:top w:val="single" w:color="auto" w:sz="4" w:space="0"/>
              <w:left w:val="single" w:color="auto" w:sz="4" w:space="0"/>
              <w:bottom w:val="single" w:color="auto" w:sz="4" w:space="0"/>
              <w:right w:val="single" w:color="auto" w:sz="4" w:space="0"/>
            </w:tcBorders>
            <w:noWrap w:val="0"/>
            <w:vAlign w:val="center"/>
          </w:tcPr>
          <w:p w14:paraId="06EF3F68">
            <w:pPr>
              <w:rPr>
                <w:rFonts w:hint="eastAsia" w:ascii="宋体" w:hAnsi="宋体" w:eastAsia="宋体" w:cs="宋体"/>
                <w:sz w:val="20"/>
                <w:szCs w:val="20"/>
              </w:rPr>
            </w:pPr>
            <w:r>
              <w:rPr>
                <w:rFonts w:hint="eastAsia" w:ascii="宋体" w:hAnsi="宋体" w:eastAsia="宋体" w:cs="宋体"/>
                <w:sz w:val="20"/>
                <w:szCs w:val="20"/>
              </w:rPr>
              <w:t>不能转换扣2分</w:t>
            </w:r>
          </w:p>
        </w:tc>
        <w:tc>
          <w:tcPr>
            <w:tcW w:w="2053" w:type="dxa"/>
            <w:gridSpan w:val="3"/>
            <w:tcBorders>
              <w:top w:val="single" w:color="auto" w:sz="4" w:space="0"/>
              <w:left w:val="single" w:color="auto" w:sz="4" w:space="0"/>
              <w:bottom w:val="single" w:color="auto" w:sz="4" w:space="0"/>
              <w:right w:val="single" w:color="auto" w:sz="4" w:space="0"/>
            </w:tcBorders>
            <w:noWrap w:val="0"/>
            <w:vAlign w:val="center"/>
          </w:tcPr>
          <w:p w14:paraId="50641125">
            <w:pPr>
              <w:jc w:val="center"/>
              <w:rPr>
                <w:rFonts w:hint="eastAsia" w:ascii="宋体" w:hAnsi="宋体" w:eastAsia="宋体" w:cs="宋体"/>
                <w:sz w:val="20"/>
                <w:szCs w:val="20"/>
              </w:rPr>
            </w:pPr>
            <w:r>
              <w:rPr>
                <w:rFonts w:hint="eastAsia" w:ascii="宋体" w:hAnsi="宋体" w:eastAsia="宋体" w:cs="宋体"/>
                <w:sz w:val="20"/>
                <w:szCs w:val="20"/>
              </w:rPr>
              <w:t>每年检测一次</w:t>
            </w:r>
          </w:p>
        </w:tc>
      </w:tr>
      <w:tr w14:paraId="3E6C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0" w:type="auto"/>
            <w:vMerge w:val="continue"/>
            <w:tcBorders>
              <w:left w:val="single" w:color="auto" w:sz="4" w:space="0"/>
              <w:right w:val="single" w:color="auto" w:sz="4" w:space="0"/>
            </w:tcBorders>
            <w:noWrap w:val="0"/>
            <w:vAlign w:val="center"/>
          </w:tcPr>
          <w:p w14:paraId="7F30C3DD">
            <w:pPr>
              <w:widowControl/>
              <w:jc w:val="left"/>
              <w:rPr>
                <w:rFonts w:hint="eastAsia" w:ascii="宋体" w:hAnsi="宋体" w:eastAsia="宋体" w:cs="宋体"/>
                <w:sz w:val="20"/>
                <w:szCs w:val="20"/>
              </w:rPr>
            </w:pPr>
          </w:p>
        </w:tc>
        <w:tc>
          <w:tcPr>
            <w:tcW w:w="0" w:type="auto"/>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5B1AD815">
            <w:pPr>
              <w:ind w:left="113" w:right="113"/>
              <w:jc w:val="center"/>
              <w:rPr>
                <w:rFonts w:hint="eastAsia" w:ascii="宋体" w:hAnsi="宋体" w:eastAsia="宋体" w:cs="宋体"/>
                <w:sz w:val="20"/>
                <w:szCs w:val="20"/>
              </w:rPr>
            </w:pPr>
            <w:r>
              <w:rPr>
                <w:rFonts w:hint="eastAsia" w:ascii="宋体" w:hAnsi="宋体" w:eastAsia="宋体" w:cs="宋体"/>
                <w:sz w:val="20"/>
                <w:szCs w:val="20"/>
              </w:rPr>
              <w:t>消火栓泵</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19F4228">
            <w:pPr>
              <w:rPr>
                <w:rFonts w:hint="eastAsia" w:ascii="宋体" w:hAnsi="宋体" w:eastAsia="宋体" w:cs="宋体"/>
                <w:sz w:val="20"/>
                <w:szCs w:val="20"/>
              </w:rPr>
            </w:pPr>
            <w:r>
              <w:rPr>
                <w:rFonts w:hint="eastAsia" w:ascii="宋体" w:hAnsi="宋体" w:eastAsia="宋体" w:cs="宋体"/>
                <w:sz w:val="20"/>
                <w:szCs w:val="20"/>
              </w:rPr>
              <w:t>联轴器状况</w:t>
            </w:r>
          </w:p>
        </w:tc>
        <w:tc>
          <w:tcPr>
            <w:tcW w:w="5941" w:type="dxa"/>
            <w:tcBorders>
              <w:top w:val="single" w:color="auto" w:sz="4" w:space="0"/>
              <w:left w:val="single" w:color="auto" w:sz="4" w:space="0"/>
              <w:bottom w:val="single" w:color="auto" w:sz="4" w:space="0"/>
              <w:right w:val="single" w:color="auto" w:sz="4" w:space="0"/>
            </w:tcBorders>
            <w:noWrap w:val="0"/>
            <w:vAlign w:val="center"/>
          </w:tcPr>
          <w:p w14:paraId="5DD076A7">
            <w:pPr>
              <w:rPr>
                <w:rFonts w:hint="eastAsia" w:ascii="宋体" w:hAnsi="宋体" w:eastAsia="宋体" w:cs="宋体"/>
                <w:sz w:val="20"/>
                <w:szCs w:val="20"/>
              </w:rPr>
            </w:pPr>
            <w:r>
              <w:rPr>
                <w:rFonts w:hint="eastAsia" w:ascii="宋体" w:hAnsi="宋体" w:eastAsia="宋体" w:cs="宋体"/>
                <w:sz w:val="20"/>
                <w:szCs w:val="20"/>
              </w:rPr>
              <w:t>要求同轴，手动盘动联轴器应灵活无卡滞现象</w:t>
            </w:r>
          </w:p>
        </w:tc>
        <w:tc>
          <w:tcPr>
            <w:tcW w:w="1669" w:type="dxa"/>
            <w:tcBorders>
              <w:top w:val="single" w:color="auto" w:sz="4" w:space="0"/>
              <w:left w:val="single" w:color="auto" w:sz="4" w:space="0"/>
              <w:bottom w:val="single" w:color="auto" w:sz="4" w:space="0"/>
              <w:right w:val="single" w:color="auto" w:sz="4" w:space="0"/>
            </w:tcBorders>
            <w:noWrap w:val="0"/>
            <w:vAlign w:val="center"/>
          </w:tcPr>
          <w:p w14:paraId="7AA52B8F">
            <w:pPr>
              <w:rPr>
                <w:rFonts w:hint="eastAsia" w:ascii="宋体" w:hAnsi="宋体" w:eastAsia="宋体" w:cs="宋体"/>
                <w:sz w:val="20"/>
                <w:szCs w:val="20"/>
              </w:rPr>
            </w:pPr>
            <w:r>
              <w:rPr>
                <w:rFonts w:hint="eastAsia" w:ascii="宋体" w:hAnsi="宋体" w:eastAsia="宋体" w:cs="宋体"/>
                <w:sz w:val="20"/>
                <w:szCs w:val="20"/>
              </w:rPr>
              <w:t>不正常每一处扣1分</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12349BD3">
            <w:pPr>
              <w:rPr>
                <w:rFonts w:hint="eastAsia" w:ascii="宋体" w:hAnsi="宋体" w:eastAsia="宋体" w:cs="宋体"/>
                <w:sz w:val="20"/>
                <w:szCs w:val="20"/>
              </w:rPr>
            </w:pPr>
          </w:p>
        </w:tc>
        <w:tc>
          <w:tcPr>
            <w:tcW w:w="808" w:type="dxa"/>
            <w:tcBorders>
              <w:top w:val="single" w:color="auto" w:sz="4" w:space="0"/>
              <w:left w:val="single" w:color="auto" w:sz="4" w:space="0"/>
              <w:bottom w:val="single" w:color="auto" w:sz="4" w:space="0"/>
              <w:right w:val="single" w:color="auto" w:sz="4" w:space="0"/>
            </w:tcBorders>
            <w:noWrap w:val="0"/>
            <w:vAlign w:val="center"/>
          </w:tcPr>
          <w:p w14:paraId="071AB592">
            <w:pPr>
              <w:rPr>
                <w:rFonts w:hint="eastAsia" w:ascii="宋体" w:hAnsi="宋体" w:eastAsia="宋体" w:cs="宋体"/>
                <w:sz w:val="20"/>
                <w:szCs w:val="20"/>
              </w:rPr>
            </w:pPr>
          </w:p>
        </w:tc>
        <w:tc>
          <w:tcPr>
            <w:tcW w:w="563" w:type="dxa"/>
            <w:tcBorders>
              <w:top w:val="single" w:color="auto" w:sz="4" w:space="0"/>
              <w:left w:val="single" w:color="auto" w:sz="4" w:space="0"/>
              <w:bottom w:val="single" w:color="auto" w:sz="4" w:space="0"/>
              <w:right w:val="single" w:color="auto" w:sz="4" w:space="0"/>
            </w:tcBorders>
            <w:noWrap w:val="0"/>
            <w:vAlign w:val="center"/>
          </w:tcPr>
          <w:p w14:paraId="50192168">
            <w:pPr>
              <w:jc w:val="center"/>
              <w:rPr>
                <w:rFonts w:hint="eastAsia" w:ascii="宋体" w:hAnsi="宋体" w:eastAsia="宋体" w:cs="宋体"/>
                <w:b/>
                <w:sz w:val="20"/>
                <w:szCs w:val="20"/>
              </w:rPr>
            </w:pPr>
            <w:r>
              <w:rPr>
                <w:rFonts w:hint="eastAsia" w:ascii="宋体" w:hAnsi="宋体" w:eastAsia="宋体" w:cs="宋体"/>
                <w:b/>
                <w:sz w:val="20"/>
                <w:szCs w:val="20"/>
              </w:rPr>
              <w:t>ⅴ</w:t>
            </w:r>
          </w:p>
        </w:tc>
      </w:tr>
      <w:tr w14:paraId="5CDBB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2" w:hRule="atLeast"/>
          <w:jc w:val="center"/>
        </w:trPr>
        <w:tc>
          <w:tcPr>
            <w:tcW w:w="0" w:type="auto"/>
            <w:vMerge w:val="continue"/>
            <w:tcBorders>
              <w:left w:val="single" w:color="auto" w:sz="4" w:space="0"/>
              <w:right w:val="single" w:color="auto" w:sz="4" w:space="0"/>
            </w:tcBorders>
            <w:noWrap w:val="0"/>
            <w:vAlign w:val="center"/>
          </w:tcPr>
          <w:p w14:paraId="37B79EE1">
            <w:pPr>
              <w:widowControl/>
              <w:jc w:val="left"/>
              <w:rPr>
                <w:rFonts w:hint="eastAsia" w:ascii="宋体" w:hAnsi="宋体" w:eastAsia="宋体" w:cs="宋体"/>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1E42AA8">
            <w:pPr>
              <w:widowControl/>
              <w:jc w:val="left"/>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06B8E4B1">
            <w:pPr>
              <w:rPr>
                <w:rFonts w:hint="eastAsia" w:ascii="宋体" w:hAnsi="宋体" w:eastAsia="宋体" w:cs="宋体"/>
                <w:sz w:val="20"/>
                <w:szCs w:val="20"/>
              </w:rPr>
            </w:pPr>
            <w:r>
              <w:rPr>
                <w:rFonts w:hint="eastAsia" w:ascii="宋体" w:hAnsi="宋体" w:eastAsia="宋体" w:cs="宋体"/>
                <w:sz w:val="20"/>
                <w:szCs w:val="20"/>
              </w:rPr>
              <w:t>消火栓泵、电机工作状况</w:t>
            </w:r>
          </w:p>
        </w:tc>
        <w:tc>
          <w:tcPr>
            <w:tcW w:w="5941" w:type="dxa"/>
            <w:tcBorders>
              <w:top w:val="single" w:color="auto" w:sz="4" w:space="0"/>
              <w:left w:val="single" w:color="auto" w:sz="4" w:space="0"/>
              <w:bottom w:val="single" w:color="auto" w:sz="4" w:space="0"/>
              <w:right w:val="single" w:color="auto" w:sz="4" w:space="0"/>
            </w:tcBorders>
            <w:noWrap w:val="0"/>
            <w:vAlign w:val="center"/>
          </w:tcPr>
          <w:p w14:paraId="3DC663A4">
            <w:pPr>
              <w:rPr>
                <w:rFonts w:hint="eastAsia" w:ascii="宋体" w:hAnsi="宋体" w:eastAsia="宋体" w:cs="宋体"/>
                <w:sz w:val="20"/>
                <w:szCs w:val="20"/>
              </w:rPr>
            </w:pPr>
            <w:r>
              <w:rPr>
                <w:rFonts w:hint="eastAsia" w:ascii="宋体" w:hAnsi="宋体" w:eastAsia="宋体" w:cs="宋体"/>
                <w:sz w:val="20"/>
                <w:szCs w:val="20"/>
              </w:rPr>
              <w:t>消火栓泵、电机工作时无异常噪声。转速、动不平衡量、流量、扬程应在合格范围内。泵体两端盖处不渗、漏水，否则，应添加盘根处理</w:t>
            </w:r>
          </w:p>
        </w:tc>
        <w:tc>
          <w:tcPr>
            <w:tcW w:w="1669" w:type="dxa"/>
            <w:tcBorders>
              <w:top w:val="single" w:color="auto" w:sz="4" w:space="0"/>
              <w:left w:val="single" w:color="auto" w:sz="4" w:space="0"/>
              <w:bottom w:val="single" w:color="auto" w:sz="4" w:space="0"/>
              <w:right w:val="single" w:color="auto" w:sz="4" w:space="0"/>
            </w:tcBorders>
            <w:noWrap w:val="0"/>
            <w:vAlign w:val="center"/>
          </w:tcPr>
          <w:p w14:paraId="01CA4E38">
            <w:pPr>
              <w:rPr>
                <w:rFonts w:hint="eastAsia" w:ascii="宋体" w:hAnsi="宋体" w:eastAsia="宋体" w:cs="宋体"/>
                <w:sz w:val="20"/>
                <w:szCs w:val="20"/>
              </w:rPr>
            </w:pPr>
            <w:r>
              <w:rPr>
                <w:rFonts w:hint="eastAsia" w:ascii="宋体" w:hAnsi="宋体" w:eastAsia="宋体" w:cs="宋体"/>
                <w:sz w:val="20"/>
                <w:szCs w:val="20"/>
              </w:rPr>
              <w:t>不正常每一处扣1分</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1127885C">
            <w:pPr>
              <w:rPr>
                <w:rFonts w:hint="eastAsia" w:ascii="宋体" w:hAnsi="宋体" w:eastAsia="宋体" w:cs="宋体"/>
                <w:sz w:val="20"/>
                <w:szCs w:val="20"/>
              </w:rPr>
            </w:pPr>
          </w:p>
        </w:tc>
        <w:tc>
          <w:tcPr>
            <w:tcW w:w="808" w:type="dxa"/>
            <w:tcBorders>
              <w:top w:val="single" w:color="auto" w:sz="4" w:space="0"/>
              <w:left w:val="single" w:color="auto" w:sz="4" w:space="0"/>
              <w:bottom w:val="single" w:color="auto" w:sz="4" w:space="0"/>
              <w:right w:val="single" w:color="auto" w:sz="4" w:space="0"/>
            </w:tcBorders>
            <w:noWrap w:val="0"/>
            <w:vAlign w:val="center"/>
          </w:tcPr>
          <w:p w14:paraId="431DE9AF">
            <w:pPr>
              <w:jc w:val="center"/>
              <w:rPr>
                <w:rFonts w:hint="eastAsia" w:ascii="宋体" w:hAnsi="宋体" w:eastAsia="宋体" w:cs="宋体"/>
                <w:b/>
                <w:sz w:val="20"/>
                <w:szCs w:val="20"/>
              </w:rPr>
            </w:pPr>
          </w:p>
        </w:tc>
        <w:tc>
          <w:tcPr>
            <w:tcW w:w="563" w:type="dxa"/>
            <w:tcBorders>
              <w:top w:val="single" w:color="auto" w:sz="4" w:space="0"/>
              <w:left w:val="single" w:color="auto" w:sz="4" w:space="0"/>
              <w:bottom w:val="single" w:color="auto" w:sz="4" w:space="0"/>
              <w:right w:val="single" w:color="auto" w:sz="4" w:space="0"/>
            </w:tcBorders>
            <w:noWrap w:val="0"/>
            <w:vAlign w:val="center"/>
          </w:tcPr>
          <w:p w14:paraId="0F33E4F0">
            <w:pPr>
              <w:jc w:val="center"/>
              <w:rPr>
                <w:rFonts w:hint="eastAsia" w:ascii="宋体" w:hAnsi="宋体" w:eastAsia="宋体" w:cs="宋体"/>
                <w:b/>
                <w:sz w:val="20"/>
                <w:szCs w:val="20"/>
              </w:rPr>
            </w:pPr>
            <w:r>
              <w:rPr>
                <w:rFonts w:hint="eastAsia" w:ascii="宋体" w:hAnsi="宋体" w:eastAsia="宋体" w:cs="宋体"/>
                <w:b/>
                <w:sz w:val="20"/>
                <w:szCs w:val="20"/>
              </w:rPr>
              <w:t>ⅴ</w:t>
            </w:r>
          </w:p>
        </w:tc>
      </w:tr>
      <w:tr w14:paraId="03782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6" w:hRule="atLeast"/>
          <w:jc w:val="center"/>
        </w:trPr>
        <w:tc>
          <w:tcPr>
            <w:tcW w:w="0" w:type="auto"/>
            <w:vMerge w:val="continue"/>
            <w:tcBorders>
              <w:left w:val="single" w:color="auto" w:sz="4" w:space="0"/>
              <w:right w:val="single" w:color="auto" w:sz="4" w:space="0"/>
            </w:tcBorders>
            <w:noWrap w:val="0"/>
            <w:vAlign w:val="center"/>
          </w:tcPr>
          <w:p w14:paraId="4E15659B">
            <w:pPr>
              <w:widowControl/>
              <w:jc w:val="left"/>
              <w:rPr>
                <w:rFonts w:hint="eastAsia" w:ascii="宋体" w:hAnsi="宋体" w:eastAsia="宋体" w:cs="宋体"/>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151A218">
            <w:pPr>
              <w:widowControl/>
              <w:jc w:val="left"/>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53844B7D">
            <w:pPr>
              <w:rPr>
                <w:rFonts w:hint="eastAsia" w:ascii="宋体" w:hAnsi="宋体" w:eastAsia="宋体" w:cs="宋体"/>
                <w:sz w:val="20"/>
                <w:szCs w:val="20"/>
              </w:rPr>
            </w:pPr>
            <w:r>
              <w:rPr>
                <w:rFonts w:hint="eastAsia" w:ascii="宋体" w:hAnsi="宋体" w:eastAsia="宋体" w:cs="宋体"/>
                <w:sz w:val="20"/>
                <w:szCs w:val="20"/>
              </w:rPr>
              <w:t>电动机绝缘电阻测试</w:t>
            </w:r>
          </w:p>
        </w:tc>
        <w:tc>
          <w:tcPr>
            <w:tcW w:w="5941" w:type="dxa"/>
            <w:tcBorders>
              <w:top w:val="single" w:color="auto" w:sz="4" w:space="0"/>
              <w:left w:val="single" w:color="auto" w:sz="4" w:space="0"/>
              <w:bottom w:val="single" w:color="auto" w:sz="4" w:space="0"/>
              <w:right w:val="single" w:color="auto" w:sz="4" w:space="0"/>
            </w:tcBorders>
            <w:noWrap w:val="0"/>
            <w:vAlign w:val="center"/>
          </w:tcPr>
          <w:p w14:paraId="716159DC">
            <w:pPr>
              <w:rPr>
                <w:rFonts w:hint="eastAsia" w:ascii="宋体" w:hAnsi="宋体" w:eastAsia="宋体" w:cs="宋体"/>
                <w:sz w:val="20"/>
                <w:szCs w:val="20"/>
              </w:rPr>
            </w:pPr>
            <w:r>
              <w:rPr>
                <w:rFonts w:hint="eastAsia" w:ascii="宋体" w:hAnsi="宋体" w:eastAsia="宋体" w:cs="宋体"/>
                <w:sz w:val="20"/>
                <w:szCs w:val="20"/>
              </w:rPr>
              <w:t>用500伏兆欧表测试，绝缘电阻值要大于0.5兆欧</w:t>
            </w:r>
          </w:p>
        </w:tc>
        <w:tc>
          <w:tcPr>
            <w:tcW w:w="1669" w:type="dxa"/>
            <w:tcBorders>
              <w:top w:val="single" w:color="auto" w:sz="4" w:space="0"/>
              <w:left w:val="single" w:color="auto" w:sz="4" w:space="0"/>
              <w:bottom w:val="single" w:color="auto" w:sz="4" w:space="0"/>
              <w:right w:val="single" w:color="auto" w:sz="4" w:space="0"/>
            </w:tcBorders>
            <w:noWrap w:val="0"/>
            <w:vAlign w:val="center"/>
          </w:tcPr>
          <w:p w14:paraId="6228534D">
            <w:pPr>
              <w:rPr>
                <w:rFonts w:hint="eastAsia" w:ascii="宋体" w:hAnsi="宋体" w:eastAsia="宋体" w:cs="宋体"/>
                <w:sz w:val="20"/>
                <w:szCs w:val="20"/>
              </w:rPr>
            </w:pPr>
            <w:r>
              <w:rPr>
                <w:rFonts w:hint="eastAsia" w:ascii="宋体" w:hAnsi="宋体" w:eastAsia="宋体" w:cs="宋体"/>
                <w:sz w:val="20"/>
                <w:szCs w:val="20"/>
              </w:rPr>
              <w:t>测试不合格扣2分</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2331F71A">
            <w:pPr>
              <w:rPr>
                <w:rFonts w:hint="eastAsia" w:ascii="宋体" w:hAnsi="宋体" w:eastAsia="宋体" w:cs="宋体"/>
                <w:sz w:val="20"/>
                <w:szCs w:val="20"/>
              </w:rPr>
            </w:pPr>
          </w:p>
        </w:tc>
        <w:tc>
          <w:tcPr>
            <w:tcW w:w="808" w:type="dxa"/>
            <w:tcBorders>
              <w:top w:val="single" w:color="auto" w:sz="4" w:space="0"/>
              <w:left w:val="single" w:color="auto" w:sz="4" w:space="0"/>
              <w:bottom w:val="single" w:color="auto" w:sz="4" w:space="0"/>
              <w:right w:val="single" w:color="auto" w:sz="4" w:space="0"/>
            </w:tcBorders>
            <w:noWrap w:val="0"/>
            <w:vAlign w:val="center"/>
          </w:tcPr>
          <w:p w14:paraId="751B8F50">
            <w:pPr>
              <w:rPr>
                <w:rFonts w:hint="eastAsia" w:ascii="宋体" w:hAnsi="宋体" w:eastAsia="宋体" w:cs="宋体"/>
                <w:sz w:val="20"/>
                <w:szCs w:val="20"/>
              </w:rPr>
            </w:pPr>
          </w:p>
        </w:tc>
        <w:tc>
          <w:tcPr>
            <w:tcW w:w="563" w:type="dxa"/>
            <w:tcBorders>
              <w:top w:val="single" w:color="auto" w:sz="4" w:space="0"/>
              <w:left w:val="single" w:color="auto" w:sz="4" w:space="0"/>
              <w:bottom w:val="single" w:color="auto" w:sz="4" w:space="0"/>
              <w:right w:val="single" w:color="auto" w:sz="4" w:space="0"/>
            </w:tcBorders>
            <w:noWrap w:val="0"/>
            <w:vAlign w:val="center"/>
          </w:tcPr>
          <w:p w14:paraId="580E1C70">
            <w:pPr>
              <w:rPr>
                <w:rFonts w:hint="eastAsia" w:ascii="宋体" w:hAnsi="宋体" w:eastAsia="宋体" w:cs="宋体"/>
                <w:sz w:val="20"/>
                <w:szCs w:val="20"/>
              </w:rPr>
            </w:pPr>
            <w:r>
              <w:rPr>
                <w:rFonts w:hint="eastAsia" w:ascii="宋体" w:hAnsi="宋体" w:eastAsia="宋体" w:cs="宋体"/>
                <w:b/>
                <w:sz w:val="20"/>
                <w:szCs w:val="20"/>
              </w:rPr>
              <w:t>ⅴ</w:t>
            </w:r>
          </w:p>
        </w:tc>
      </w:tr>
      <w:tr w14:paraId="2210D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1" w:hRule="atLeast"/>
          <w:jc w:val="center"/>
        </w:trPr>
        <w:tc>
          <w:tcPr>
            <w:tcW w:w="0" w:type="auto"/>
            <w:vMerge w:val="continue"/>
            <w:tcBorders>
              <w:left w:val="single" w:color="auto" w:sz="4" w:space="0"/>
              <w:bottom w:val="single" w:color="auto" w:sz="4" w:space="0"/>
              <w:right w:val="single" w:color="auto" w:sz="4" w:space="0"/>
            </w:tcBorders>
            <w:noWrap w:val="0"/>
            <w:vAlign w:val="center"/>
          </w:tcPr>
          <w:p w14:paraId="60C1A187">
            <w:pPr>
              <w:widowControl/>
              <w:jc w:val="left"/>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textDirection w:val="tbRlV"/>
            <w:vAlign w:val="center"/>
          </w:tcPr>
          <w:p w14:paraId="49E49767">
            <w:pPr>
              <w:widowControl/>
              <w:ind w:left="113" w:right="113"/>
              <w:jc w:val="center"/>
              <w:rPr>
                <w:rFonts w:hint="eastAsia" w:ascii="宋体" w:hAnsi="宋体" w:eastAsia="宋体" w:cs="宋体"/>
                <w:sz w:val="20"/>
                <w:szCs w:val="20"/>
              </w:rPr>
            </w:pPr>
            <w:r>
              <w:rPr>
                <w:rFonts w:hint="eastAsia" w:ascii="宋体" w:hAnsi="宋体" w:eastAsia="宋体" w:cs="宋体"/>
                <w:sz w:val="20"/>
                <w:szCs w:val="20"/>
              </w:rPr>
              <w:t>联络</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8B880F0">
            <w:pPr>
              <w:rPr>
                <w:rFonts w:hint="eastAsia" w:ascii="宋体" w:hAnsi="宋体" w:eastAsia="宋体" w:cs="宋体"/>
                <w:sz w:val="20"/>
                <w:szCs w:val="20"/>
              </w:rPr>
            </w:pPr>
            <w:r>
              <w:rPr>
                <w:rFonts w:hint="eastAsia" w:ascii="宋体" w:hAnsi="宋体" w:eastAsia="宋体" w:cs="宋体"/>
                <w:sz w:val="20"/>
                <w:szCs w:val="20"/>
              </w:rPr>
              <w:t>就地启动消火栓泵信号反馈主机状况测试</w:t>
            </w:r>
          </w:p>
        </w:tc>
        <w:tc>
          <w:tcPr>
            <w:tcW w:w="5941" w:type="dxa"/>
            <w:tcBorders>
              <w:top w:val="single" w:color="auto" w:sz="4" w:space="0"/>
              <w:left w:val="single" w:color="auto" w:sz="4" w:space="0"/>
              <w:bottom w:val="single" w:color="auto" w:sz="4" w:space="0"/>
              <w:right w:val="single" w:color="auto" w:sz="4" w:space="0"/>
            </w:tcBorders>
            <w:noWrap w:val="0"/>
            <w:vAlign w:val="top"/>
          </w:tcPr>
          <w:p w14:paraId="5056AC1F">
            <w:pPr>
              <w:rPr>
                <w:rFonts w:hint="eastAsia" w:ascii="宋体" w:hAnsi="宋体" w:eastAsia="宋体" w:cs="宋体"/>
                <w:sz w:val="20"/>
                <w:szCs w:val="20"/>
              </w:rPr>
            </w:pPr>
            <w:r>
              <w:rPr>
                <w:rFonts w:hint="eastAsia" w:ascii="宋体" w:hAnsi="宋体" w:eastAsia="宋体" w:cs="宋体"/>
                <w:sz w:val="20"/>
                <w:szCs w:val="20"/>
              </w:rPr>
              <w:t>就地手动启动消火栓泵，动作信号能够在火灾自动报警主机上监视到对应中继器、模块的系统号、地址号、中文信息</w:t>
            </w:r>
          </w:p>
        </w:tc>
        <w:tc>
          <w:tcPr>
            <w:tcW w:w="1669" w:type="dxa"/>
            <w:tcBorders>
              <w:top w:val="single" w:color="auto" w:sz="4" w:space="0"/>
              <w:left w:val="single" w:color="auto" w:sz="4" w:space="0"/>
              <w:bottom w:val="single" w:color="auto" w:sz="4" w:space="0"/>
              <w:right w:val="single" w:color="auto" w:sz="4" w:space="0"/>
            </w:tcBorders>
            <w:noWrap w:val="0"/>
            <w:vAlign w:val="center"/>
          </w:tcPr>
          <w:p w14:paraId="0D2EA3E1">
            <w:pPr>
              <w:rPr>
                <w:rFonts w:hint="eastAsia" w:ascii="宋体" w:hAnsi="宋体" w:eastAsia="宋体" w:cs="宋体"/>
                <w:sz w:val="20"/>
                <w:szCs w:val="20"/>
              </w:rPr>
            </w:pPr>
            <w:r>
              <w:rPr>
                <w:rFonts w:hint="eastAsia" w:ascii="宋体" w:hAnsi="宋体" w:eastAsia="宋体" w:cs="宋体"/>
                <w:sz w:val="20"/>
                <w:szCs w:val="20"/>
              </w:rPr>
              <w:t>泵不能工作扣3分，显示不正确扣1分</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0CEA0BCE">
            <w:pPr>
              <w:rPr>
                <w:rFonts w:hint="eastAsia" w:ascii="宋体" w:hAnsi="宋体" w:eastAsia="宋体" w:cs="宋体"/>
                <w:sz w:val="20"/>
                <w:szCs w:val="20"/>
              </w:rPr>
            </w:pPr>
          </w:p>
        </w:tc>
        <w:tc>
          <w:tcPr>
            <w:tcW w:w="808" w:type="dxa"/>
            <w:tcBorders>
              <w:top w:val="single" w:color="auto" w:sz="4" w:space="0"/>
              <w:left w:val="single" w:color="auto" w:sz="4" w:space="0"/>
              <w:bottom w:val="single" w:color="auto" w:sz="4" w:space="0"/>
              <w:right w:val="single" w:color="auto" w:sz="4" w:space="0"/>
            </w:tcBorders>
            <w:noWrap w:val="0"/>
            <w:vAlign w:val="center"/>
          </w:tcPr>
          <w:p w14:paraId="29F2DBF8">
            <w:pPr>
              <w:rPr>
                <w:rFonts w:hint="eastAsia" w:ascii="宋体" w:hAnsi="宋体" w:eastAsia="宋体" w:cs="宋体"/>
                <w:sz w:val="20"/>
                <w:szCs w:val="20"/>
              </w:rPr>
            </w:pPr>
          </w:p>
        </w:tc>
        <w:tc>
          <w:tcPr>
            <w:tcW w:w="563" w:type="dxa"/>
            <w:tcBorders>
              <w:top w:val="single" w:color="auto" w:sz="4" w:space="0"/>
              <w:left w:val="single" w:color="auto" w:sz="4" w:space="0"/>
              <w:bottom w:val="single" w:color="auto" w:sz="4" w:space="0"/>
              <w:right w:val="single" w:color="auto" w:sz="4" w:space="0"/>
            </w:tcBorders>
            <w:noWrap w:val="0"/>
            <w:vAlign w:val="center"/>
          </w:tcPr>
          <w:p w14:paraId="242C7B5E">
            <w:pPr>
              <w:rPr>
                <w:rFonts w:hint="eastAsia" w:ascii="宋体" w:hAnsi="宋体" w:eastAsia="宋体" w:cs="宋体"/>
                <w:b/>
                <w:sz w:val="20"/>
                <w:szCs w:val="20"/>
              </w:rPr>
            </w:pPr>
            <w:r>
              <w:rPr>
                <w:rFonts w:hint="eastAsia" w:ascii="宋体" w:hAnsi="宋体" w:eastAsia="宋体" w:cs="宋体"/>
                <w:b/>
                <w:sz w:val="20"/>
                <w:szCs w:val="20"/>
              </w:rPr>
              <w:t>ⅴ</w:t>
            </w:r>
          </w:p>
        </w:tc>
      </w:tr>
    </w:tbl>
    <w:p w14:paraId="20D9D22C">
      <w:pPr>
        <w:tabs>
          <w:tab w:val="left" w:pos="1260"/>
        </w:tabs>
        <w:snapToGrid w:val="0"/>
        <w:spacing w:line="480" w:lineRule="auto"/>
        <w:jc w:val="center"/>
        <w:rPr>
          <w:rFonts w:ascii="Times New Roman" w:hAnsi="Times New Roman" w:eastAsia="宋体" w:cs="Times New Roman"/>
          <w:bCs/>
          <w:sz w:val="24"/>
          <w:szCs w:val="20"/>
        </w:rPr>
      </w:pPr>
    </w:p>
    <w:p w14:paraId="3ED7985A">
      <w:pPr>
        <w:tabs>
          <w:tab w:val="left" w:pos="1260"/>
        </w:tabs>
        <w:snapToGrid w:val="0"/>
        <w:spacing w:line="480" w:lineRule="auto"/>
        <w:jc w:val="center"/>
        <w:rPr>
          <w:rFonts w:ascii="Times New Roman" w:hAnsi="Times New Roman" w:eastAsia="宋体" w:cs="Times New Roman"/>
          <w:bCs/>
          <w:sz w:val="24"/>
          <w:szCs w:val="20"/>
        </w:rPr>
      </w:pPr>
    </w:p>
    <w:p w14:paraId="1DE12C6F">
      <w:pPr>
        <w:tabs>
          <w:tab w:val="left" w:pos="1260"/>
        </w:tabs>
        <w:snapToGrid w:val="0"/>
        <w:spacing w:line="480" w:lineRule="auto"/>
        <w:jc w:val="center"/>
        <w:rPr>
          <w:rFonts w:ascii="Times New Roman" w:hAnsi="Times New Roman" w:eastAsia="宋体" w:cs="Times New Roman"/>
          <w:bCs/>
          <w:sz w:val="24"/>
          <w:szCs w:val="20"/>
        </w:rPr>
      </w:pPr>
    </w:p>
    <w:p w14:paraId="4B53F203">
      <w:pPr>
        <w:tabs>
          <w:tab w:val="left" w:pos="1260"/>
        </w:tabs>
        <w:snapToGrid w:val="0"/>
        <w:spacing w:line="480" w:lineRule="auto"/>
        <w:jc w:val="center"/>
        <w:rPr>
          <w:rFonts w:ascii="Times New Roman" w:hAnsi="Times New Roman" w:eastAsia="宋体" w:cs="Times New Roman"/>
          <w:bCs/>
          <w:sz w:val="24"/>
          <w:szCs w:val="20"/>
        </w:rPr>
      </w:pPr>
    </w:p>
    <w:p w14:paraId="12F927CC">
      <w:pPr>
        <w:tabs>
          <w:tab w:val="left" w:pos="1260"/>
        </w:tabs>
        <w:snapToGrid w:val="0"/>
        <w:spacing w:line="480" w:lineRule="auto"/>
        <w:jc w:val="center"/>
        <w:rPr>
          <w:rFonts w:ascii="Times New Roman" w:hAnsi="Times New Roman" w:eastAsia="宋体" w:cs="Times New Roman"/>
          <w:bCs/>
          <w:sz w:val="24"/>
          <w:szCs w:val="20"/>
        </w:rPr>
      </w:pP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844"/>
        <w:gridCol w:w="816"/>
        <w:gridCol w:w="3757"/>
        <w:gridCol w:w="1115"/>
        <w:gridCol w:w="548"/>
        <w:gridCol w:w="603"/>
        <w:gridCol w:w="479"/>
      </w:tblGrid>
      <w:tr w14:paraId="609D3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0" w:hRule="atLeast"/>
          <w:jc w:val="center"/>
        </w:trPr>
        <w:tc>
          <w:tcPr>
            <w:tcW w:w="0" w:type="auto"/>
            <w:gridSpan w:val="2"/>
            <w:vMerge w:val="restart"/>
            <w:tcBorders>
              <w:top w:val="single" w:color="auto" w:sz="4" w:space="0"/>
              <w:left w:val="single" w:color="auto" w:sz="4" w:space="0"/>
              <w:bottom w:val="single" w:color="auto" w:sz="4" w:space="0"/>
              <w:right w:val="single" w:color="auto" w:sz="4" w:space="0"/>
              <w:tl2br w:val="single" w:color="auto" w:sz="4" w:space="0"/>
            </w:tcBorders>
            <w:noWrap w:val="0"/>
            <w:vAlign w:val="top"/>
          </w:tcPr>
          <w:p w14:paraId="1C3E9730">
            <w:pPr>
              <w:jc w:val="center"/>
              <w:rPr>
                <w:rFonts w:hint="eastAsia" w:ascii="宋体" w:hAnsi="宋体" w:eastAsia="宋体" w:cs="宋体"/>
                <w:sz w:val="20"/>
                <w:szCs w:val="20"/>
              </w:rPr>
            </w:pPr>
            <w:r>
              <w:rPr>
                <w:rFonts w:hint="eastAsia" w:ascii="宋体" w:hAnsi="宋体" w:eastAsia="宋体" w:cs="宋体"/>
                <w:sz w:val="20"/>
                <w:szCs w:val="20"/>
              </w:rPr>
              <w:t xml:space="preserve">       分项要求</w:t>
            </w:r>
          </w:p>
          <w:p w14:paraId="66C3BF6F">
            <w:pPr>
              <w:rPr>
                <w:rFonts w:hint="eastAsia" w:ascii="宋体" w:hAnsi="宋体" w:eastAsia="宋体" w:cs="宋体"/>
                <w:sz w:val="20"/>
                <w:szCs w:val="20"/>
              </w:rPr>
            </w:pPr>
            <w:r>
              <w:rPr>
                <w:rFonts w:hint="eastAsia" w:ascii="宋体" w:hAnsi="宋体" w:eastAsia="宋体" w:cs="宋体"/>
                <w:sz w:val="20"/>
                <w:szCs w:val="20"/>
              </w:rPr>
              <w:t>系统分类</w:t>
            </w:r>
          </w:p>
        </w:tc>
        <w:tc>
          <w:tcPr>
            <w:tcW w:w="0" w:type="auto"/>
            <w:vMerge w:val="restart"/>
            <w:tcBorders>
              <w:top w:val="single" w:color="auto" w:sz="4" w:space="0"/>
              <w:left w:val="single" w:color="auto" w:sz="4" w:space="0"/>
              <w:bottom w:val="single" w:color="auto" w:sz="4" w:space="0"/>
              <w:right w:val="single" w:color="auto" w:sz="4" w:space="0"/>
            </w:tcBorders>
            <w:noWrap w:val="0"/>
            <w:vAlign w:val="center"/>
          </w:tcPr>
          <w:p w14:paraId="7DD75C29">
            <w:pPr>
              <w:jc w:val="center"/>
              <w:rPr>
                <w:rFonts w:hint="eastAsia" w:ascii="宋体" w:hAnsi="宋体" w:eastAsia="宋体" w:cs="宋体"/>
                <w:sz w:val="20"/>
                <w:szCs w:val="20"/>
              </w:rPr>
            </w:pPr>
            <w:r>
              <w:rPr>
                <w:rFonts w:hint="eastAsia" w:ascii="宋体" w:hAnsi="宋体" w:eastAsia="宋体" w:cs="宋体"/>
                <w:sz w:val="20"/>
                <w:szCs w:val="20"/>
              </w:rPr>
              <w:t>维护保养项目</w:t>
            </w:r>
          </w:p>
        </w:tc>
        <w:tc>
          <w:tcPr>
            <w:tcW w:w="3870" w:type="dxa"/>
            <w:vMerge w:val="restart"/>
            <w:tcBorders>
              <w:top w:val="single" w:color="auto" w:sz="4" w:space="0"/>
              <w:left w:val="single" w:color="auto" w:sz="4" w:space="0"/>
              <w:bottom w:val="single" w:color="auto" w:sz="4" w:space="0"/>
              <w:right w:val="single" w:color="auto" w:sz="4" w:space="0"/>
            </w:tcBorders>
            <w:noWrap w:val="0"/>
            <w:vAlign w:val="center"/>
          </w:tcPr>
          <w:p w14:paraId="3CA88FC7">
            <w:pPr>
              <w:jc w:val="center"/>
              <w:rPr>
                <w:rFonts w:hint="eastAsia" w:ascii="宋体" w:hAnsi="宋体" w:eastAsia="宋体" w:cs="宋体"/>
                <w:sz w:val="20"/>
                <w:szCs w:val="20"/>
              </w:rPr>
            </w:pPr>
            <w:r>
              <w:rPr>
                <w:rFonts w:hint="eastAsia" w:ascii="宋体" w:hAnsi="宋体" w:eastAsia="宋体" w:cs="宋体"/>
                <w:sz w:val="20"/>
                <w:szCs w:val="20"/>
              </w:rPr>
              <w:t>合格标准</w:t>
            </w:r>
          </w:p>
        </w:tc>
        <w:tc>
          <w:tcPr>
            <w:tcW w:w="1135" w:type="dxa"/>
            <w:vMerge w:val="restart"/>
            <w:tcBorders>
              <w:top w:val="single" w:color="auto" w:sz="4" w:space="0"/>
              <w:left w:val="single" w:color="auto" w:sz="4" w:space="0"/>
              <w:bottom w:val="single" w:color="auto" w:sz="4" w:space="0"/>
              <w:right w:val="single" w:color="auto" w:sz="4" w:space="0"/>
            </w:tcBorders>
            <w:noWrap w:val="0"/>
            <w:vAlign w:val="center"/>
          </w:tcPr>
          <w:p w14:paraId="7BEEE96C">
            <w:pPr>
              <w:jc w:val="center"/>
              <w:rPr>
                <w:rFonts w:hint="eastAsia" w:ascii="宋体" w:hAnsi="宋体" w:eastAsia="宋体" w:cs="宋体"/>
                <w:sz w:val="20"/>
                <w:szCs w:val="20"/>
              </w:rPr>
            </w:pPr>
            <w:r>
              <w:rPr>
                <w:rFonts w:hint="eastAsia" w:ascii="宋体" w:hAnsi="宋体" w:eastAsia="宋体" w:cs="宋体"/>
                <w:sz w:val="20"/>
                <w:szCs w:val="20"/>
              </w:rPr>
              <w:t>扣分标准（参考）</w:t>
            </w:r>
          </w:p>
        </w:tc>
        <w:tc>
          <w:tcPr>
            <w:tcW w:w="1645" w:type="dxa"/>
            <w:gridSpan w:val="3"/>
            <w:tcBorders>
              <w:top w:val="single" w:color="auto" w:sz="4" w:space="0"/>
              <w:left w:val="single" w:color="auto" w:sz="4" w:space="0"/>
              <w:bottom w:val="single" w:color="auto" w:sz="4" w:space="0"/>
              <w:right w:val="single" w:color="auto" w:sz="4" w:space="0"/>
            </w:tcBorders>
            <w:noWrap w:val="0"/>
            <w:vAlign w:val="center"/>
          </w:tcPr>
          <w:p w14:paraId="024F6C46">
            <w:pPr>
              <w:jc w:val="center"/>
              <w:rPr>
                <w:rFonts w:hint="eastAsia" w:ascii="宋体" w:hAnsi="宋体" w:eastAsia="宋体" w:cs="宋体"/>
                <w:sz w:val="20"/>
                <w:szCs w:val="20"/>
              </w:rPr>
            </w:pPr>
            <w:r>
              <w:rPr>
                <w:rFonts w:hint="eastAsia" w:ascii="宋体" w:hAnsi="宋体" w:eastAsia="宋体" w:cs="宋体"/>
                <w:sz w:val="20"/>
                <w:szCs w:val="20"/>
              </w:rPr>
              <w:t>工 作 频 次</w:t>
            </w:r>
          </w:p>
        </w:tc>
      </w:tr>
      <w:tr w14:paraId="03E3B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0" w:type="auto"/>
            <w:gridSpan w:val="2"/>
            <w:vMerge w:val="continue"/>
            <w:tcBorders>
              <w:top w:val="single" w:color="auto" w:sz="4" w:space="0"/>
              <w:left w:val="single" w:color="auto" w:sz="4" w:space="0"/>
              <w:bottom w:val="single" w:color="auto" w:sz="4" w:space="0"/>
              <w:right w:val="single" w:color="auto" w:sz="4" w:space="0"/>
              <w:tl2br w:val="single" w:color="auto" w:sz="4" w:space="0"/>
            </w:tcBorders>
            <w:noWrap w:val="0"/>
            <w:vAlign w:val="center"/>
          </w:tcPr>
          <w:p w14:paraId="03C6019A">
            <w:pPr>
              <w:widowControl/>
              <w:jc w:val="left"/>
              <w:rPr>
                <w:rFonts w:hint="eastAsia" w:ascii="宋体" w:hAnsi="宋体" w:eastAsia="宋体" w:cs="宋体"/>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185DE03">
            <w:pPr>
              <w:widowControl/>
              <w:jc w:val="left"/>
              <w:rPr>
                <w:rFonts w:hint="eastAsia" w:ascii="宋体" w:hAnsi="宋体" w:eastAsia="宋体" w:cs="宋体"/>
                <w:sz w:val="20"/>
                <w:szCs w:val="20"/>
              </w:rPr>
            </w:pPr>
          </w:p>
        </w:tc>
        <w:tc>
          <w:tcPr>
            <w:tcW w:w="3870" w:type="dxa"/>
            <w:vMerge w:val="continue"/>
            <w:tcBorders>
              <w:top w:val="single" w:color="auto" w:sz="4" w:space="0"/>
              <w:left w:val="single" w:color="auto" w:sz="4" w:space="0"/>
              <w:bottom w:val="single" w:color="auto" w:sz="4" w:space="0"/>
              <w:right w:val="single" w:color="auto" w:sz="4" w:space="0"/>
            </w:tcBorders>
            <w:noWrap w:val="0"/>
            <w:vAlign w:val="center"/>
          </w:tcPr>
          <w:p w14:paraId="7BED0E17">
            <w:pPr>
              <w:widowControl/>
              <w:jc w:val="left"/>
              <w:rPr>
                <w:rFonts w:hint="eastAsia" w:ascii="宋体" w:hAnsi="宋体" w:eastAsia="宋体" w:cs="宋体"/>
                <w:sz w:val="20"/>
                <w:szCs w:val="20"/>
              </w:rPr>
            </w:pPr>
          </w:p>
        </w:tc>
        <w:tc>
          <w:tcPr>
            <w:tcW w:w="1135" w:type="dxa"/>
            <w:vMerge w:val="continue"/>
            <w:tcBorders>
              <w:top w:val="single" w:color="auto" w:sz="4" w:space="0"/>
              <w:left w:val="single" w:color="auto" w:sz="4" w:space="0"/>
              <w:bottom w:val="single" w:color="auto" w:sz="4" w:space="0"/>
              <w:right w:val="single" w:color="auto" w:sz="4" w:space="0"/>
            </w:tcBorders>
            <w:noWrap w:val="0"/>
            <w:vAlign w:val="center"/>
          </w:tcPr>
          <w:p w14:paraId="2401D58F">
            <w:pPr>
              <w:widowControl/>
              <w:jc w:val="left"/>
              <w:rPr>
                <w:rFonts w:hint="eastAsia" w:ascii="宋体" w:hAnsi="宋体" w:eastAsia="宋体" w:cs="宋体"/>
                <w:sz w:val="20"/>
                <w:szCs w:val="20"/>
              </w:rPr>
            </w:pPr>
          </w:p>
        </w:tc>
        <w:tc>
          <w:tcPr>
            <w:tcW w:w="553" w:type="dxa"/>
            <w:tcBorders>
              <w:top w:val="single" w:color="auto" w:sz="4" w:space="0"/>
              <w:left w:val="single" w:color="auto" w:sz="4" w:space="0"/>
              <w:bottom w:val="single" w:color="auto" w:sz="4" w:space="0"/>
              <w:right w:val="single" w:color="auto" w:sz="4" w:space="0"/>
            </w:tcBorders>
            <w:noWrap w:val="0"/>
            <w:vAlign w:val="center"/>
          </w:tcPr>
          <w:p w14:paraId="4E14B425">
            <w:pPr>
              <w:jc w:val="center"/>
              <w:rPr>
                <w:rFonts w:hint="eastAsia" w:ascii="宋体" w:hAnsi="宋体" w:eastAsia="宋体" w:cs="宋体"/>
                <w:sz w:val="20"/>
                <w:szCs w:val="20"/>
              </w:rPr>
            </w:pPr>
            <w:r>
              <w:rPr>
                <w:rFonts w:hint="eastAsia" w:ascii="宋体" w:hAnsi="宋体" w:eastAsia="宋体" w:cs="宋体"/>
                <w:sz w:val="20"/>
                <w:szCs w:val="20"/>
              </w:rPr>
              <w:t>周</w:t>
            </w:r>
          </w:p>
        </w:tc>
        <w:tc>
          <w:tcPr>
            <w:tcW w:w="611" w:type="dxa"/>
            <w:tcBorders>
              <w:top w:val="single" w:color="auto" w:sz="4" w:space="0"/>
              <w:left w:val="single" w:color="auto" w:sz="4" w:space="0"/>
              <w:bottom w:val="single" w:color="auto" w:sz="4" w:space="0"/>
              <w:right w:val="single" w:color="auto" w:sz="4" w:space="0"/>
            </w:tcBorders>
            <w:noWrap w:val="0"/>
            <w:vAlign w:val="center"/>
          </w:tcPr>
          <w:p w14:paraId="7CDE3FF9">
            <w:pPr>
              <w:jc w:val="center"/>
              <w:rPr>
                <w:rFonts w:hint="eastAsia" w:ascii="宋体" w:hAnsi="宋体" w:eastAsia="宋体" w:cs="宋体"/>
                <w:sz w:val="20"/>
                <w:szCs w:val="20"/>
              </w:rPr>
            </w:pPr>
            <w:r>
              <w:rPr>
                <w:rFonts w:hint="eastAsia" w:ascii="宋体" w:hAnsi="宋体" w:eastAsia="宋体" w:cs="宋体"/>
                <w:sz w:val="20"/>
                <w:szCs w:val="20"/>
              </w:rPr>
              <w:t>月</w:t>
            </w:r>
          </w:p>
        </w:tc>
        <w:tc>
          <w:tcPr>
            <w:tcW w:w="481" w:type="dxa"/>
            <w:tcBorders>
              <w:top w:val="single" w:color="auto" w:sz="4" w:space="0"/>
              <w:left w:val="single" w:color="auto" w:sz="4" w:space="0"/>
              <w:bottom w:val="single" w:color="auto" w:sz="4" w:space="0"/>
              <w:right w:val="single" w:color="auto" w:sz="4" w:space="0"/>
            </w:tcBorders>
            <w:noWrap w:val="0"/>
            <w:vAlign w:val="center"/>
          </w:tcPr>
          <w:p w14:paraId="42384329">
            <w:pPr>
              <w:jc w:val="center"/>
              <w:rPr>
                <w:rFonts w:hint="eastAsia" w:ascii="宋体" w:hAnsi="宋体" w:eastAsia="宋体" w:cs="宋体"/>
                <w:sz w:val="20"/>
                <w:szCs w:val="20"/>
              </w:rPr>
            </w:pPr>
            <w:r>
              <w:rPr>
                <w:rFonts w:hint="eastAsia" w:ascii="宋体" w:hAnsi="宋体" w:eastAsia="宋体" w:cs="宋体"/>
                <w:sz w:val="20"/>
                <w:szCs w:val="20"/>
              </w:rPr>
              <w:t>季</w:t>
            </w:r>
          </w:p>
        </w:tc>
      </w:tr>
      <w:tr w14:paraId="0D6A2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6" w:hRule="atLeast"/>
          <w:jc w:val="center"/>
        </w:trPr>
        <w:tc>
          <w:tcPr>
            <w:tcW w:w="528" w:type="dxa"/>
            <w:vMerge w:val="restart"/>
            <w:tcBorders>
              <w:top w:val="single" w:color="auto" w:sz="4" w:space="0"/>
              <w:left w:val="single" w:color="auto" w:sz="4" w:space="0"/>
              <w:right w:val="single" w:color="auto" w:sz="4" w:space="0"/>
            </w:tcBorders>
            <w:noWrap w:val="0"/>
            <w:textDirection w:val="tbRlV"/>
            <w:vAlign w:val="center"/>
          </w:tcPr>
          <w:p w14:paraId="7FB0B417">
            <w:pPr>
              <w:ind w:left="113" w:right="113"/>
              <w:jc w:val="center"/>
              <w:rPr>
                <w:rFonts w:hint="eastAsia" w:ascii="宋体" w:hAnsi="宋体" w:eastAsia="宋体" w:cs="宋体"/>
                <w:sz w:val="20"/>
                <w:szCs w:val="20"/>
              </w:rPr>
            </w:pPr>
            <w:r>
              <w:rPr>
                <w:rFonts w:hint="eastAsia" w:ascii="宋体" w:hAnsi="宋体" w:eastAsia="宋体" w:cs="宋体"/>
                <w:sz w:val="20"/>
                <w:szCs w:val="20"/>
              </w:rPr>
              <w:t>消火栓系统</w:t>
            </w:r>
          </w:p>
        </w:tc>
        <w:tc>
          <w:tcPr>
            <w:tcW w:w="528" w:type="dxa"/>
            <w:tcBorders>
              <w:top w:val="single" w:color="auto" w:sz="4" w:space="0"/>
              <w:left w:val="single" w:color="auto" w:sz="4" w:space="0"/>
              <w:bottom w:val="single" w:color="auto" w:sz="4" w:space="0"/>
              <w:right w:val="single" w:color="auto" w:sz="4" w:space="0"/>
            </w:tcBorders>
            <w:noWrap w:val="0"/>
            <w:textDirection w:val="tbRlV"/>
            <w:vAlign w:val="center"/>
          </w:tcPr>
          <w:p w14:paraId="1E94387A">
            <w:pPr>
              <w:ind w:left="113" w:right="113"/>
              <w:jc w:val="center"/>
              <w:rPr>
                <w:rFonts w:hint="eastAsia" w:ascii="宋体" w:hAnsi="宋体" w:eastAsia="宋体" w:cs="宋体"/>
                <w:sz w:val="20"/>
                <w:szCs w:val="20"/>
              </w:rPr>
            </w:pPr>
            <w:r>
              <w:rPr>
                <w:rFonts w:hint="eastAsia" w:ascii="宋体" w:hAnsi="宋体" w:eastAsia="宋体" w:cs="宋体"/>
                <w:sz w:val="20"/>
                <w:szCs w:val="20"/>
              </w:rPr>
              <w:t>管 路</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0C31D77">
            <w:pPr>
              <w:rPr>
                <w:rFonts w:hint="eastAsia" w:ascii="宋体" w:hAnsi="宋体" w:eastAsia="宋体" w:cs="宋体"/>
                <w:sz w:val="20"/>
                <w:szCs w:val="20"/>
              </w:rPr>
            </w:pPr>
            <w:r>
              <w:rPr>
                <w:rFonts w:hint="eastAsia" w:ascii="宋体" w:hAnsi="宋体" w:eastAsia="宋体" w:cs="宋体"/>
                <w:sz w:val="20"/>
                <w:szCs w:val="20"/>
              </w:rPr>
              <w:t>各类消火栓管道保养</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674F436C">
            <w:pPr>
              <w:rPr>
                <w:rFonts w:hint="eastAsia" w:ascii="宋体" w:hAnsi="宋体" w:eastAsia="宋体" w:cs="宋体"/>
                <w:sz w:val="20"/>
                <w:szCs w:val="20"/>
              </w:rPr>
            </w:pPr>
            <w:r>
              <w:rPr>
                <w:rFonts w:hint="eastAsia" w:ascii="宋体" w:hAnsi="宋体" w:eastAsia="宋体" w:cs="宋体"/>
                <w:sz w:val="20"/>
                <w:szCs w:val="20"/>
              </w:rPr>
              <w:t>各类消火栓管道要求无渗漏或锈蚀，视情况定期对管道除锈，刷酚醛类防锈漆后刷大红油基漆</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728CA9F2">
            <w:pPr>
              <w:rPr>
                <w:rFonts w:hint="eastAsia" w:ascii="宋体" w:hAnsi="宋体" w:eastAsia="宋体" w:cs="宋体"/>
                <w:sz w:val="20"/>
                <w:szCs w:val="20"/>
              </w:rPr>
            </w:pPr>
            <w:r>
              <w:rPr>
                <w:rFonts w:hint="eastAsia" w:ascii="宋体" w:hAnsi="宋体" w:eastAsia="宋体" w:cs="宋体"/>
                <w:sz w:val="20"/>
                <w:szCs w:val="20"/>
              </w:rPr>
              <w:t>不合格每一处扣0.05分</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6CCCABD2">
            <w:pPr>
              <w:jc w:val="center"/>
              <w:rPr>
                <w:rFonts w:hint="eastAsia" w:ascii="宋体" w:hAnsi="宋体" w:eastAsia="宋体" w:cs="宋体"/>
                <w:sz w:val="20"/>
                <w:szCs w:val="20"/>
              </w:rPr>
            </w:pPr>
          </w:p>
        </w:tc>
        <w:tc>
          <w:tcPr>
            <w:tcW w:w="611" w:type="dxa"/>
            <w:tcBorders>
              <w:top w:val="single" w:color="auto" w:sz="4" w:space="0"/>
              <w:left w:val="single" w:color="auto" w:sz="4" w:space="0"/>
              <w:bottom w:val="single" w:color="auto" w:sz="4" w:space="0"/>
              <w:right w:val="single" w:color="auto" w:sz="4" w:space="0"/>
            </w:tcBorders>
            <w:noWrap w:val="0"/>
            <w:vAlign w:val="center"/>
          </w:tcPr>
          <w:p w14:paraId="63906028">
            <w:pPr>
              <w:jc w:val="center"/>
              <w:rPr>
                <w:rFonts w:hint="eastAsia" w:ascii="宋体" w:hAnsi="宋体" w:eastAsia="宋体" w:cs="宋体"/>
                <w:sz w:val="20"/>
                <w:szCs w:val="20"/>
              </w:rPr>
            </w:pPr>
          </w:p>
        </w:tc>
        <w:tc>
          <w:tcPr>
            <w:tcW w:w="481" w:type="dxa"/>
            <w:tcBorders>
              <w:top w:val="single" w:color="auto" w:sz="4" w:space="0"/>
              <w:left w:val="single" w:color="auto" w:sz="4" w:space="0"/>
              <w:bottom w:val="single" w:color="auto" w:sz="4" w:space="0"/>
              <w:right w:val="single" w:color="auto" w:sz="4" w:space="0"/>
            </w:tcBorders>
            <w:noWrap w:val="0"/>
            <w:vAlign w:val="center"/>
          </w:tcPr>
          <w:p w14:paraId="27124F3E">
            <w:pPr>
              <w:jc w:val="center"/>
              <w:rPr>
                <w:rFonts w:hint="eastAsia" w:ascii="宋体" w:hAnsi="宋体" w:eastAsia="宋体" w:cs="宋体"/>
                <w:b/>
                <w:sz w:val="20"/>
                <w:szCs w:val="20"/>
              </w:rPr>
            </w:pPr>
            <w:r>
              <w:rPr>
                <w:rFonts w:hint="eastAsia" w:ascii="宋体" w:hAnsi="宋体" w:eastAsia="宋体" w:cs="宋体"/>
                <w:b/>
                <w:sz w:val="20"/>
                <w:szCs w:val="20"/>
              </w:rPr>
              <w:t>ⅴ</w:t>
            </w:r>
          </w:p>
        </w:tc>
      </w:tr>
      <w:tr w14:paraId="525DC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7" w:hRule="atLeast"/>
          <w:jc w:val="center"/>
        </w:trPr>
        <w:tc>
          <w:tcPr>
            <w:tcW w:w="528" w:type="dxa"/>
            <w:vMerge w:val="continue"/>
            <w:tcBorders>
              <w:left w:val="single" w:color="auto" w:sz="4" w:space="0"/>
              <w:right w:val="single" w:color="auto" w:sz="4" w:space="0"/>
            </w:tcBorders>
            <w:noWrap w:val="0"/>
            <w:vAlign w:val="center"/>
          </w:tcPr>
          <w:p w14:paraId="2E1CA468">
            <w:pPr>
              <w:widowControl/>
              <w:jc w:val="left"/>
              <w:rPr>
                <w:rFonts w:hint="eastAsia" w:ascii="宋体" w:hAnsi="宋体" w:eastAsia="宋体" w:cs="宋体"/>
                <w:sz w:val="20"/>
                <w:szCs w:val="20"/>
              </w:rPr>
            </w:pPr>
          </w:p>
        </w:tc>
        <w:tc>
          <w:tcPr>
            <w:tcW w:w="528" w:type="dxa"/>
            <w:vMerge w:val="restart"/>
            <w:tcBorders>
              <w:top w:val="single" w:color="auto" w:sz="4" w:space="0"/>
              <w:left w:val="single" w:color="auto" w:sz="4" w:space="0"/>
              <w:right w:val="single" w:color="auto" w:sz="4" w:space="0"/>
            </w:tcBorders>
            <w:noWrap w:val="0"/>
            <w:textDirection w:val="tbRlV"/>
            <w:vAlign w:val="center"/>
          </w:tcPr>
          <w:p w14:paraId="4A5900E5">
            <w:pPr>
              <w:ind w:left="113" w:right="113"/>
              <w:jc w:val="center"/>
              <w:rPr>
                <w:rFonts w:hint="eastAsia" w:ascii="宋体" w:hAnsi="宋体" w:eastAsia="宋体" w:cs="宋体"/>
                <w:sz w:val="20"/>
                <w:szCs w:val="20"/>
              </w:rPr>
            </w:pPr>
            <w:r>
              <w:rPr>
                <w:rFonts w:hint="eastAsia" w:ascii="宋体" w:hAnsi="宋体" w:eastAsia="宋体" w:cs="宋体"/>
                <w:sz w:val="20"/>
                <w:szCs w:val="20"/>
              </w:rPr>
              <w:t>各类阀门</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5098052">
            <w:pPr>
              <w:rPr>
                <w:rFonts w:hint="eastAsia" w:ascii="宋体" w:hAnsi="宋体" w:eastAsia="宋体" w:cs="宋体"/>
                <w:sz w:val="20"/>
                <w:szCs w:val="20"/>
              </w:rPr>
            </w:pPr>
            <w:r>
              <w:rPr>
                <w:rFonts w:hint="eastAsia" w:ascii="宋体" w:hAnsi="宋体" w:eastAsia="宋体" w:cs="宋体"/>
                <w:sz w:val="20"/>
                <w:szCs w:val="20"/>
              </w:rPr>
              <w:t>闸阀、截止阀</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288A3411">
            <w:pPr>
              <w:rPr>
                <w:rFonts w:hint="eastAsia" w:ascii="宋体" w:hAnsi="宋体" w:eastAsia="宋体" w:cs="宋体"/>
                <w:sz w:val="20"/>
                <w:szCs w:val="20"/>
              </w:rPr>
            </w:pPr>
            <w:r>
              <w:rPr>
                <w:rFonts w:hint="eastAsia" w:ascii="宋体" w:hAnsi="宋体" w:eastAsia="宋体" w:cs="宋体"/>
                <w:sz w:val="20"/>
                <w:szCs w:val="20"/>
              </w:rPr>
              <w:t>闸阀、截止阀操作灵活到位，无渗、漏水现象，否则需作添加盘根处理，丝杠处加润滑油养护</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7AF9597C">
            <w:pPr>
              <w:rPr>
                <w:rFonts w:hint="eastAsia" w:ascii="宋体" w:hAnsi="宋体" w:eastAsia="宋体" w:cs="宋体"/>
                <w:sz w:val="20"/>
                <w:szCs w:val="20"/>
              </w:rPr>
            </w:pPr>
            <w:r>
              <w:rPr>
                <w:rFonts w:hint="eastAsia" w:ascii="宋体" w:hAnsi="宋体" w:eastAsia="宋体" w:cs="宋体"/>
                <w:sz w:val="20"/>
                <w:szCs w:val="20"/>
              </w:rPr>
              <w:t>不合格每一处扣0.5分</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5ED74AEF">
            <w:pPr>
              <w:jc w:val="center"/>
              <w:rPr>
                <w:rFonts w:hint="eastAsia" w:ascii="宋体" w:hAnsi="宋体" w:eastAsia="宋体" w:cs="宋体"/>
                <w:sz w:val="20"/>
                <w:szCs w:val="20"/>
              </w:rPr>
            </w:pPr>
          </w:p>
        </w:tc>
        <w:tc>
          <w:tcPr>
            <w:tcW w:w="611" w:type="dxa"/>
            <w:tcBorders>
              <w:top w:val="single" w:color="auto" w:sz="4" w:space="0"/>
              <w:left w:val="single" w:color="auto" w:sz="4" w:space="0"/>
              <w:bottom w:val="single" w:color="auto" w:sz="4" w:space="0"/>
              <w:right w:val="single" w:color="auto" w:sz="4" w:space="0"/>
            </w:tcBorders>
            <w:noWrap w:val="0"/>
            <w:vAlign w:val="center"/>
          </w:tcPr>
          <w:p w14:paraId="64C8548B">
            <w:pPr>
              <w:jc w:val="center"/>
              <w:rPr>
                <w:rFonts w:hint="eastAsia" w:ascii="宋体" w:hAnsi="宋体" w:eastAsia="宋体" w:cs="宋体"/>
                <w:sz w:val="20"/>
                <w:szCs w:val="20"/>
              </w:rPr>
            </w:pPr>
          </w:p>
        </w:tc>
        <w:tc>
          <w:tcPr>
            <w:tcW w:w="481" w:type="dxa"/>
            <w:tcBorders>
              <w:top w:val="single" w:color="auto" w:sz="4" w:space="0"/>
              <w:left w:val="single" w:color="auto" w:sz="4" w:space="0"/>
              <w:bottom w:val="single" w:color="auto" w:sz="4" w:space="0"/>
              <w:right w:val="single" w:color="auto" w:sz="4" w:space="0"/>
            </w:tcBorders>
            <w:noWrap w:val="0"/>
            <w:vAlign w:val="center"/>
          </w:tcPr>
          <w:p w14:paraId="10A7887A">
            <w:pPr>
              <w:jc w:val="center"/>
              <w:rPr>
                <w:rFonts w:hint="eastAsia" w:ascii="宋体" w:hAnsi="宋体" w:eastAsia="宋体" w:cs="宋体"/>
                <w:b/>
                <w:sz w:val="20"/>
                <w:szCs w:val="20"/>
              </w:rPr>
            </w:pPr>
            <w:r>
              <w:rPr>
                <w:rFonts w:hint="eastAsia" w:ascii="宋体" w:hAnsi="宋体" w:eastAsia="宋体" w:cs="宋体"/>
                <w:b/>
                <w:sz w:val="20"/>
                <w:szCs w:val="20"/>
              </w:rPr>
              <w:t>ⅴ</w:t>
            </w:r>
          </w:p>
        </w:tc>
      </w:tr>
      <w:tr w14:paraId="1D555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5" w:hRule="atLeast"/>
          <w:jc w:val="center"/>
        </w:trPr>
        <w:tc>
          <w:tcPr>
            <w:tcW w:w="528" w:type="dxa"/>
            <w:vMerge w:val="continue"/>
            <w:tcBorders>
              <w:left w:val="single" w:color="auto" w:sz="4" w:space="0"/>
              <w:right w:val="single" w:color="auto" w:sz="4" w:space="0"/>
            </w:tcBorders>
            <w:noWrap w:val="0"/>
            <w:vAlign w:val="center"/>
          </w:tcPr>
          <w:p w14:paraId="34F8A743">
            <w:pPr>
              <w:widowControl/>
              <w:jc w:val="left"/>
              <w:rPr>
                <w:rFonts w:hint="eastAsia" w:ascii="宋体" w:hAnsi="宋体" w:eastAsia="宋体" w:cs="宋体"/>
                <w:sz w:val="20"/>
                <w:szCs w:val="20"/>
              </w:rPr>
            </w:pPr>
          </w:p>
        </w:tc>
        <w:tc>
          <w:tcPr>
            <w:tcW w:w="528" w:type="dxa"/>
            <w:vMerge w:val="continue"/>
            <w:tcBorders>
              <w:left w:val="single" w:color="auto" w:sz="4" w:space="0"/>
              <w:right w:val="single" w:color="auto" w:sz="4" w:space="0"/>
            </w:tcBorders>
            <w:noWrap w:val="0"/>
            <w:vAlign w:val="center"/>
          </w:tcPr>
          <w:p w14:paraId="06EE58B0">
            <w:pPr>
              <w:widowControl/>
              <w:jc w:val="left"/>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98BA673">
            <w:pPr>
              <w:rPr>
                <w:rFonts w:hint="eastAsia" w:ascii="宋体" w:hAnsi="宋体" w:eastAsia="宋体" w:cs="宋体"/>
                <w:sz w:val="20"/>
                <w:szCs w:val="20"/>
              </w:rPr>
            </w:pPr>
            <w:r>
              <w:rPr>
                <w:rFonts w:hint="eastAsia" w:ascii="宋体" w:hAnsi="宋体" w:eastAsia="宋体" w:cs="宋体"/>
                <w:sz w:val="20"/>
                <w:szCs w:val="20"/>
              </w:rPr>
              <w:t>各类自动排气阀</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789D1371">
            <w:pPr>
              <w:rPr>
                <w:rFonts w:hint="eastAsia" w:ascii="宋体" w:hAnsi="宋体" w:eastAsia="宋体" w:cs="宋体"/>
                <w:sz w:val="20"/>
                <w:szCs w:val="20"/>
              </w:rPr>
            </w:pPr>
            <w:r>
              <w:rPr>
                <w:rFonts w:hint="eastAsia" w:ascii="宋体" w:hAnsi="宋体" w:eastAsia="宋体" w:cs="宋体"/>
                <w:sz w:val="20"/>
                <w:szCs w:val="20"/>
              </w:rPr>
              <w:t>各类排气阀排气正常，无渗、漏水现象；阀体外表清洁</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746C88BF">
            <w:pPr>
              <w:rPr>
                <w:rFonts w:hint="eastAsia" w:ascii="宋体" w:hAnsi="宋体" w:eastAsia="宋体" w:cs="宋体"/>
                <w:sz w:val="20"/>
                <w:szCs w:val="20"/>
              </w:rPr>
            </w:pPr>
            <w:r>
              <w:rPr>
                <w:rFonts w:hint="eastAsia" w:ascii="宋体" w:hAnsi="宋体" w:eastAsia="宋体" w:cs="宋体"/>
                <w:sz w:val="20"/>
                <w:szCs w:val="20"/>
              </w:rPr>
              <w:t>不合格每一处1分</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063D9F61">
            <w:pPr>
              <w:jc w:val="center"/>
              <w:rPr>
                <w:rFonts w:hint="eastAsia" w:ascii="宋体" w:hAnsi="宋体" w:eastAsia="宋体" w:cs="宋体"/>
                <w:sz w:val="20"/>
                <w:szCs w:val="20"/>
              </w:rPr>
            </w:pPr>
          </w:p>
        </w:tc>
        <w:tc>
          <w:tcPr>
            <w:tcW w:w="611" w:type="dxa"/>
            <w:tcBorders>
              <w:top w:val="single" w:color="auto" w:sz="4" w:space="0"/>
              <w:left w:val="single" w:color="auto" w:sz="4" w:space="0"/>
              <w:bottom w:val="single" w:color="auto" w:sz="4" w:space="0"/>
              <w:right w:val="single" w:color="auto" w:sz="4" w:space="0"/>
            </w:tcBorders>
            <w:noWrap w:val="0"/>
            <w:vAlign w:val="center"/>
          </w:tcPr>
          <w:p w14:paraId="4463379B">
            <w:pPr>
              <w:jc w:val="center"/>
              <w:rPr>
                <w:rFonts w:hint="eastAsia" w:ascii="宋体" w:hAnsi="宋体" w:eastAsia="宋体" w:cs="宋体"/>
                <w:sz w:val="20"/>
                <w:szCs w:val="20"/>
              </w:rPr>
            </w:pPr>
          </w:p>
        </w:tc>
        <w:tc>
          <w:tcPr>
            <w:tcW w:w="481" w:type="dxa"/>
            <w:tcBorders>
              <w:top w:val="single" w:color="auto" w:sz="4" w:space="0"/>
              <w:left w:val="single" w:color="auto" w:sz="4" w:space="0"/>
              <w:bottom w:val="single" w:color="auto" w:sz="4" w:space="0"/>
              <w:right w:val="single" w:color="auto" w:sz="4" w:space="0"/>
            </w:tcBorders>
            <w:noWrap w:val="0"/>
            <w:vAlign w:val="center"/>
          </w:tcPr>
          <w:p w14:paraId="6B49B1A8">
            <w:pPr>
              <w:jc w:val="center"/>
              <w:rPr>
                <w:rFonts w:hint="eastAsia" w:ascii="宋体" w:hAnsi="宋体" w:eastAsia="宋体" w:cs="宋体"/>
                <w:b/>
                <w:sz w:val="20"/>
                <w:szCs w:val="20"/>
              </w:rPr>
            </w:pPr>
            <w:r>
              <w:rPr>
                <w:rFonts w:hint="eastAsia" w:ascii="宋体" w:hAnsi="宋体" w:eastAsia="宋体" w:cs="宋体"/>
                <w:b/>
                <w:sz w:val="20"/>
                <w:szCs w:val="20"/>
              </w:rPr>
              <w:t>ⅴ</w:t>
            </w:r>
          </w:p>
        </w:tc>
      </w:tr>
      <w:tr w14:paraId="2E656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28" w:type="dxa"/>
            <w:vMerge w:val="continue"/>
            <w:tcBorders>
              <w:left w:val="single" w:color="auto" w:sz="4" w:space="0"/>
              <w:right w:val="single" w:color="auto" w:sz="4" w:space="0"/>
            </w:tcBorders>
            <w:noWrap w:val="0"/>
            <w:vAlign w:val="center"/>
          </w:tcPr>
          <w:p w14:paraId="1FAB41EC">
            <w:pPr>
              <w:widowControl/>
              <w:jc w:val="left"/>
              <w:rPr>
                <w:rFonts w:hint="eastAsia" w:ascii="宋体" w:hAnsi="宋体" w:eastAsia="宋体" w:cs="宋体"/>
                <w:sz w:val="20"/>
                <w:szCs w:val="20"/>
              </w:rPr>
            </w:pPr>
          </w:p>
        </w:tc>
        <w:tc>
          <w:tcPr>
            <w:tcW w:w="528" w:type="dxa"/>
            <w:vMerge w:val="continue"/>
            <w:tcBorders>
              <w:left w:val="single" w:color="auto" w:sz="4" w:space="0"/>
              <w:right w:val="single" w:color="auto" w:sz="4" w:space="0"/>
            </w:tcBorders>
            <w:noWrap w:val="0"/>
            <w:vAlign w:val="center"/>
          </w:tcPr>
          <w:p w14:paraId="512BFC5C">
            <w:pPr>
              <w:widowControl/>
              <w:jc w:val="left"/>
              <w:rPr>
                <w:rFonts w:hint="eastAsia" w:ascii="宋体" w:hAnsi="宋体" w:eastAsia="宋体" w:cs="宋体"/>
                <w:sz w:val="20"/>
                <w:szCs w:val="20"/>
              </w:rPr>
            </w:pPr>
          </w:p>
        </w:tc>
        <w:tc>
          <w:tcPr>
            <w:tcW w:w="0" w:type="auto"/>
            <w:tcBorders>
              <w:top w:val="single" w:color="auto" w:sz="4" w:space="0"/>
              <w:left w:val="single" w:color="auto" w:sz="4" w:space="0"/>
              <w:right w:val="single" w:color="auto" w:sz="4" w:space="0"/>
            </w:tcBorders>
            <w:noWrap w:val="0"/>
            <w:vAlign w:val="center"/>
          </w:tcPr>
          <w:p w14:paraId="32AAF1C7">
            <w:pPr>
              <w:rPr>
                <w:rFonts w:hint="eastAsia" w:ascii="宋体" w:hAnsi="宋体" w:eastAsia="宋体" w:cs="宋体"/>
                <w:sz w:val="20"/>
                <w:szCs w:val="20"/>
              </w:rPr>
            </w:pPr>
            <w:r>
              <w:rPr>
                <w:rFonts w:hint="eastAsia" w:ascii="宋体" w:hAnsi="宋体" w:eastAsia="宋体" w:cs="宋体"/>
                <w:sz w:val="20"/>
                <w:szCs w:val="20"/>
              </w:rPr>
              <w:t>减压阀工况设置</w:t>
            </w:r>
          </w:p>
        </w:tc>
        <w:tc>
          <w:tcPr>
            <w:tcW w:w="3870" w:type="dxa"/>
            <w:tcBorders>
              <w:top w:val="single" w:color="auto" w:sz="4" w:space="0"/>
              <w:left w:val="single" w:color="auto" w:sz="4" w:space="0"/>
              <w:right w:val="single" w:color="auto" w:sz="4" w:space="0"/>
            </w:tcBorders>
            <w:noWrap w:val="0"/>
            <w:vAlign w:val="center"/>
          </w:tcPr>
          <w:p w14:paraId="3BA83947">
            <w:pPr>
              <w:numPr>
                <w:ilvl w:val="0"/>
                <w:numId w:val="6"/>
              </w:numPr>
              <w:rPr>
                <w:rFonts w:hint="eastAsia" w:ascii="宋体" w:hAnsi="宋体" w:eastAsia="宋体" w:cs="宋体"/>
                <w:bCs/>
                <w:sz w:val="20"/>
                <w:szCs w:val="20"/>
              </w:rPr>
            </w:pPr>
            <w:r>
              <w:rPr>
                <w:rFonts w:hint="eastAsia" w:ascii="宋体" w:hAnsi="宋体" w:eastAsia="宋体" w:cs="宋体"/>
                <w:bCs/>
                <w:sz w:val="20"/>
                <w:szCs w:val="20"/>
              </w:rPr>
              <w:t>进、出水压力要设置合理（应控制在5</w:t>
            </w:r>
          </w:p>
          <w:p w14:paraId="5E1E39BC">
            <w:pPr>
              <w:ind w:firstLine="300" w:firstLineChars="150"/>
              <w:rPr>
                <w:rFonts w:hint="eastAsia" w:ascii="宋体" w:hAnsi="宋体" w:eastAsia="宋体" w:cs="宋体"/>
                <w:bCs/>
                <w:sz w:val="20"/>
                <w:szCs w:val="20"/>
              </w:rPr>
            </w:pPr>
            <w:r>
              <w:rPr>
                <w:rFonts w:hint="eastAsia" w:ascii="宋体" w:hAnsi="宋体" w:eastAsia="宋体" w:cs="宋体"/>
                <w:bCs/>
                <w:sz w:val="20"/>
                <w:szCs w:val="20"/>
              </w:rPr>
              <w:t>：1范围内）以动态放水设置出水压力为准；</w:t>
            </w:r>
          </w:p>
          <w:p w14:paraId="10832DBD">
            <w:pPr>
              <w:numPr>
                <w:ilvl w:val="0"/>
                <w:numId w:val="6"/>
              </w:numPr>
              <w:rPr>
                <w:rFonts w:hint="eastAsia" w:ascii="宋体" w:hAnsi="宋体" w:eastAsia="宋体" w:cs="宋体"/>
                <w:bCs/>
                <w:sz w:val="20"/>
                <w:szCs w:val="20"/>
              </w:rPr>
            </w:pPr>
            <w:r>
              <w:rPr>
                <w:rFonts w:hint="eastAsia" w:ascii="宋体" w:hAnsi="宋体" w:eastAsia="宋体" w:cs="宋体"/>
                <w:bCs/>
                <w:sz w:val="20"/>
                <w:szCs w:val="20"/>
              </w:rPr>
              <w:t>每季定期清洁减压阀前端过滤阀的过滤网，以满足减压阀工作状况要求；</w:t>
            </w:r>
          </w:p>
          <w:p w14:paraId="51F79819">
            <w:pPr>
              <w:numPr>
                <w:ilvl w:val="0"/>
                <w:numId w:val="6"/>
              </w:numPr>
              <w:rPr>
                <w:rFonts w:hint="eastAsia" w:ascii="宋体" w:hAnsi="宋体" w:eastAsia="宋体" w:cs="宋体"/>
                <w:bCs/>
                <w:sz w:val="20"/>
                <w:szCs w:val="20"/>
              </w:rPr>
            </w:pPr>
            <w:r>
              <w:rPr>
                <w:rFonts w:hint="eastAsia" w:ascii="宋体" w:hAnsi="宋体" w:eastAsia="宋体" w:cs="宋体"/>
                <w:sz w:val="20"/>
                <w:szCs w:val="20"/>
              </w:rPr>
              <w:t>减压阀阀体应无渗、漏水现象；</w:t>
            </w:r>
            <w:r>
              <w:rPr>
                <w:rFonts w:hint="eastAsia" w:ascii="宋体" w:hAnsi="宋体" w:eastAsia="宋体" w:cs="宋体"/>
                <w:bCs/>
                <w:sz w:val="20"/>
                <w:szCs w:val="20"/>
              </w:rPr>
              <w:t>减压</w:t>
            </w:r>
            <w:r>
              <w:rPr>
                <w:rFonts w:hint="eastAsia" w:ascii="宋体" w:hAnsi="宋体" w:eastAsia="宋体" w:cs="宋体"/>
                <w:sz w:val="20"/>
                <w:szCs w:val="20"/>
              </w:rPr>
              <w:t>阀进、出水压力数值接近，已表明减压阀本身已存在故障，需要及时修理</w:t>
            </w:r>
          </w:p>
          <w:p w14:paraId="1244E56E">
            <w:pPr>
              <w:numPr>
                <w:ilvl w:val="0"/>
                <w:numId w:val="6"/>
              </w:numPr>
              <w:rPr>
                <w:rFonts w:hint="eastAsia" w:ascii="宋体" w:hAnsi="宋体" w:eastAsia="宋体" w:cs="宋体"/>
                <w:sz w:val="20"/>
                <w:szCs w:val="20"/>
              </w:rPr>
            </w:pPr>
            <w:r>
              <w:rPr>
                <w:rFonts w:hint="eastAsia" w:ascii="宋体" w:hAnsi="宋体" w:eastAsia="宋体" w:cs="宋体"/>
                <w:sz w:val="20"/>
                <w:szCs w:val="20"/>
              </w:rPr>
              <w:t>对于活塞式减压阀，不能堵塞其阀体上约1.5mm阀芯呼吸透气孔，以防减压阀失控；</w:t>
            </w:r>
          </w:p>
          <w:p w14:paraId="003CB233">
            <w:pPr>
              <w:ind w:left="360" w:hanging="300" w:hangingChars="150"/>
              <w:rPr>
                <w:rFonts w:hint="eastAsia" w:ascii="宋体" w:hAnsi="宋体" w:eastAsia="宋体" w:cs="宋体"/>
                <w:bCs/>
                <w:sz w:val="20"/>
                <w:szCs w:val="20"/>
              </w:rPr>
            </w:pPr>
            <w:r>
              <w:rPr>
                <w:rFonts w:hint="eastAsia" w:ascii="宋体" w:hAnsi="宋体" w:eastAsia="宋体" w:cs="宋体"/>
                <w:sz w:val="20"/>
                <w:szCs w:val="20"/>
              </w:rPr>
              <w:t>⑤减压阀管网中减压阀不能带有空气运行，否则易损坏管网及用水器具。</w:t>
            </w:r>
          </w:p>
        </w:tc>
        <w:tc>
          <w:tcPr>
            <w:tcW w:w="1135" w:type="dxa"/>
            <w:tcBorders>
              <w:top w:val="single" w:color="auto" w:sz="4" w:space="0"/>
              <w:left w:val="single" w:color="auto" w:sz="4" w:space="0"/>
              <w:right w:val="single" w:color="auto" w:sz="4" w:space="0"/>
            </w:tcBorders>
            <w:noWrap w:val="0"/>
            <w:vAlign w:val="center"/>
          </w:tcPr>
          <w:p w14:paraId="0152FBB8">
            <w:pPr>
              <w:rPr>
                <w:rFonts w:hint="eastAsia" w:ascii="宋体" w:hAnsi="宋体" w:eastAsia="宋体" w:cs="宋体"/>
                <w:bCs/>
                <w:sz w:val="20"/>
                <w:szCs w:val="20"/>
              </w:rPr>
            </w:pPr>
            <w:r>
              <w:rPr>
                <w:rFonts w:hint="eastAsia" w:ascii="宋体" w:hAnsi="宋体" w:eastAsia="宋体" w:cs="宋体"/>
                <w:bCs/>
                <w:sz w:val="20"/>
                <w:szCs w:val="20"/>
              </w:rPr>
              <w:t>设置的出水压力不正确扣2分</w:t>
            </w:r>
          </w:p>
        </w:tc>
        <w:tc>
          <w:tcPr>
            <w:tcW w:w="553" w:type="dxa"/>
            <w:tcBorders>
              <w:top w:val="single" w:color="auto" w:sz="4" w:space="0"/>
              <w:left w:val="single" w:color="auto" w:sz="4" w:space="0"/>
              <w:right w:val="single" w:color="auto" w:sz="4" w:space="0"/>
            </w:tcBorders>
            <w:noWrap w:val="0"/>
            <w:vAlign w:val="center"/>
          </w:tcPr>
          <w:p w14:paraId="3BF35E33">
            <w:pPr>
              <w:jc w:val="center"/>
              <w:rPr>
                <w:rFonts w:hint="eastAsia" w:ascii="宋体" w:hAnsi="宋体" w:eastAsia="宋体" w:cs="宋体"/>
                <w:sz w:val="20"/>
                <w:szCs w:val="20"/>
              </w:rPr>
            </w:pPr>
          </w:p>
        </w:tc>
        <w:tc>
          <w:tcPr>
            <w:tcW w:w="611" w:type="dxa"/>
            <w:tcBorders>
              <w:top w:val="single" w:color="auto" w:sz="4" w:space="0"/>
              <w:left w:val="single" w:color="auto" w:sz="4" w:space="0"/>
              <w:right w:val="single" w:color="auto" w:sz="4" w:space="0"/>
            </w:tcBorders>
            <w:noWrap w:val="0"/>
            <w:vAlign w:val="center"/>
          </w:tcPr>
          <w:p w14:paraId="0786CFF3">
            <w:pPr>
              <w:jc w:val="center"/>
              <w:rPr>
                <w:rFonts w:hint="eastAsia" w:ascii="宋体" w:hAnsi="宋体" w:eastAsia="宋体" w:cs="宋体"/>
                <w:b/>
                <w:sz w:val="20"/>
                <w:szCs w:val="20"/>
              </w:rPr>
            </w:pPr>
            <w:r>
              <w:rPr>
                <w:rFonts w:hint="eastAsia" w:ascii="宋体" w:hAnsi="宋体" w:eastAsia="宋体" w:cs="宋体"/>
                <w:b/>
                <w:sz w:val="20"/>
                <w:szCs w:val="20"/>
              </w:rPr>
              <w:t>ⅴ</w:t>
            </w:r>
          </w:p>
        </w:tc>
        <w:tc>
          <w:tcPr>
            <w:tcW w:w="481" w:type="dxa"/>
            <w:tcBorders>
              <w:top w:val="single" w:color="auto" w:sz="4" w:space="0"/>
              <w:left w:val="single" w:color="auto" w:sz="4" w:space="0"/>
              <w:right w:val="single" w:color="auto" w:sz="4" w:space="0"/>
            </w:tcBorders>
            <w:noWrap w:val="0"/>
            <w:vAlign w:val="center"/>
          </w:tcPr>
          <w:p w14:paraId="60072059">
            <w:pPr>
              <w:jc w:val="center"/>
              <w:rPr>
                <w:rFonts w:hint="eastAsia" w:ascii="宋体" w:hAnsi="宋体" w:eastAsia="宋体" w:cs="宋体"/>
                <w:sz w:val="20"/>
                <w:szCs w:val="20"/>
              </w:rPr>
            </w:pPr>
          </w:p>
        </w:tc>
      </w:tr>
      <w:tr w14:paraId="5F326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0" w:type="auto"/>
            <w:gridSpan w:val="2"/>
            <w:vMerge w:val="restart"/>
            <w:tcBorders>
              <w:top w:val="single" w:color="auto" w:sz="4" w:space="0"/>
              <w:left w:val="single" w:color="auto" w:sz="4" w:space="0"/>
              <w:bottom w:val="single" w:color="auto" w:sz="4" w:space="0"/>
              <w:right w:val="single" w:color="auto" w:sz="4" w:space="0"/>
              <w:tl2br w:val="single" w:color="auto" w:sz="4" w:space="0"/>
            </w:tcBorders>
            <w:noWrap w:val="0"/>
            <w:vAlign w:val="top"/>
          </w:tcPr>
          <w:p w14:paraId="7D5FDECB">
            <w:pPr>
              <w:jc w:val="center"/>
              <w:rPr>
                <w:rFonts w:hint="eastAsia" w:ascii="宋体" w:hAnsi="宋体" w:eastAsia="宋体" w:cs="宋体"/>
                <w:sz w:val="20"/>
                <w:szCs w:val="20"/>
              </w:rPr>
            </w:pPr>
            <w:r>
              <w:rPr>
                <w:rFonts w:hint="eastAsia" w:ascii="宋体" w:hAnsi="宋体" w:eastAsia="宋体" w:cs="宋体"/>
                <w:sz w:val="20"/>
                <w:szCs w:val="20"/>
              </w:rPr>
              <w:t xml:space="preserve">       分项要求</w:t>
            </w:r>
          </w:p>
          <w:p w14:paraId="4903E251">
            <w:pPr>
              <w:rPr>
                <w:rFonts w:hint="eastAsia" w:ascii="宋体" w:hAnsi="宋体" w:eastAsia="宋体" w:cs="宋体"/>
                <w:sz w:val="20"/>
                <w:szCs w:val="20"/>
              </w:rPr>
            </w:pPr>
            <w:r>
              <w:rPr>
                <w:rFonts w:hint="eastAsia" w:ascii="宋体" w:hAnsi="宋体" w:eastAsia="宋体" w:cs="宋体"/>
                <w:sz w:val="20"/>
                <w:szCs w:val="20"/>
              </w:rPr>
              <w:t>系统分类</w:t>
            </w:r>
          </w:p>
        </w:tc>
        <w:tc>
          <w:tcPr>
            <w:tcW w:w="0" w:type="auto"/>
            <w:vMerge w:val="restart"/>
            <w:tcBorders>
              <w:top w:val="single" w:color="auto" w:sz="4" w:space="0"/>
              <w:left w:val="single" w:color="auto" w:sz="4" w:space="0"/>
              <w:bottom w:val="single" w:color="auto" w:sz="4" w:space="0"/>
              <w:right w:val="single" w:color="auto" w:sz="4" w:space="0"/>
            </w:tcBorders>
            <w:noWrap w:val="0"/>
            <w:vAlign w:val="center"/>
          </w:tcPr>
          <w:p w14:paraId="6848AB67">
            <w:pPr>
              <w:jc w:val="center"/>
              <w:rPr>
                <w:rFonts w:hint="eastAsia" w:ascii="宋体" w:hAnsi="宋体" w:eastAsia="宋体" w:cs="宋体"/>
                <w:sz w:val="20"/>
                <w:szCs w:val="20"/>
              </w:rPr>
            </w:pPr>
            <w:r>
              <w:rPr>
                <w:rFonts w:hint="eastAsia" w:ascii="宋体" w:hAnsi="宋体" w:eastAsia="宋体" w:cs="宋体"/>
                <w:sz w:val="20"/>
                <w:szCs w:val="20"/>
              </w:rPr>
              <w:t>维护保养项目</w:t>
            </w:r>
          </w:p>
        </w:tc>
        <w:tc>
          <w:tcPr>
            <w:tcW w:w="3870" w:type="dxa"/>
            <w:vMerge w:val="restart"/>
            <w:tcBorders>
              <w:top w:val="single" w:color="auto" w:sz="4" w:space="0"/>
              <w:left w:val="single" w:color="auto" w:sz="4" w:space="0"/>
              <w:bottom w:val="single" w:color="auto" w:sz="4" w:space="0"/>
              <w:right w:val="single" w:color="auto" w:sz="4" w:space="0"/>
            </w:tcBorders>
            <w:noWrap w:val="0"/>
            <w:vAlign w:val="center"/>
          </w:tcPr>
          <w:p w14:paraId="4AD1B0F6">
            <w:pPr>
              <w:jc w:val="center"/>
              <w:rPr>
                <w:rFonts w:hint="eastAsia" w:ascii="宋体" w:hAnsi="宋体" w:eastAsia="宋体" w:cs="宋体"/>
                <w:sz w:val="20"/>
                <w:szCs w:val="20"/>
              </w:rPr>
            </w:pPr>
            <w:r>
              <w:rPr>
                <w:rFonts w:hint="eastAsia" w:ascii="宋体" w:hAnsi="宋体" w:eastAsia="宋体" w:cs="宋体"/>
                <w:sz w:val="20"/>
                <w:szCs w:val="20"/>
              </w:rPr>
              <w:t>合格标准</w:t>
            </w:r>
          </w:p>
        </w:tc>
        <w:tc>
          <w:tcPr>
            <w:tcW w:w="1135" w:type="dxa"/>
            <w:vMerge w:val="restart"/>
            <w:tcBorders>
              <w:top w:val="single" w:color="auto" w:sz="4" w:space="0"/>
              <w:left w:val="single" w:color="auto" w:sz="4" w:space="0"/>
              <w:bottom w:val="single" w:color="auto" w:sz="4" w:space="0"/>
              <w:right w:val="single" w:color="auto" w:sz="4" w:space="0"/>
            </w:tcBorders>
            <w:noWrap w:val="0"/>
            <w:vAlign w:val="center"/>
          </w:tcPr>
          <w:p w14:paraId="5F144850">
            <w:pPr>
              <w:jc w:val="center"/>
              <w:rPr>
                <w:rFonts w:hint="eastAsia" w:ascii="宋体" w:hAnsi="宋体" w:eastAsia="宋体" w:cs="宋体"/>
                <w:sz w:val="20"/>
                <w:szCs w:val="20"/>
              </w:rPr>
            </w:pPr>
            <w:r>
              <w:rPr>
                <w:rFonts w:hint="eastAsia" w:ascii="宋体" w:hAnsi="宋体" w:eastAsia="宋体" w:cs="宋体"/>
                <w:sz w:val="20"/>
                <w:szCs w:val="20"/>
              </w:rPr>
              <w:t>扣分标准（参考）</w:t>
            </w:r>
          </w:p>
        </w:tc>
        <w:tc>
          <w:tcPr>
            <w:tcW w:w="1645" w:type="dxa"/>
            <w:gridSpan w:val="3"/>
            <w:tcBorders>
              <w:top w:val="single" w:color="auto" w:sz="4" w:space="0"/>
              <w:left w:val="single" w:color="auto" w:sz="4" w:space="0"/>
              <w:bottom w:val="single" w:color="auto" w:sz="4" w:space="0"/>
              <w:right w:val="single" w:color="auto" w:sz="4" w:space="0"/>
            </w:tcBorders>
            <w:noWrap w:val="0"/>
            <w:vAlign w:val="center"/>
          </w:tcPr>
          <w:p w14:paraId="4B164C5B">
            <w:pPr>
              <w:jc w:val="center"/>
              <w:rPr>
                <w:rFonts w:hint="eastAsia" w:ascii="宋体" w:hAnsi="宋体" w:eastAsia="宋体" w:cs="宋体"/>
                <w:sz w:val="20"/>
                <w:szCs w:val="20"/>
              </w:rPr>
            </w:pPr>
            <w:r>
              <w:rPr>
                <w:rFonts w:hint="eastAsia" w:ascii="宋体" w:hAnsi="宋体" w:eastAsia="宋体" w:cs="宋体"/>
                <w:sz w:val="20"/>
                <w:szCs w:val="20"/>
              </w:rPr>
              <w:t>工 作 频 次</w:t>
            </w:r>
          </w:p>
        </w:tc>
      </w:tr>
      <w:tr w14:paraId="57935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0" w:type="auto"/>
            <w:gridSpan w:val="2"/>
            <w:vMerge w:val="continue"/>
            <w:tcBorders>
              <w:top w:val="single" w:color="auto" w:sz="4" w:space="0"/>
              <w:left w:val="single" w:color="auto" w:sz="4" w:space="0"/>
              <w:bottom w:val="single" w:color="auto" w:sz="4" w:space="0"/>
              <w:right w:val="single" w:color="auto" w:sz="4" w:space="0"/>
              <w:tl2br w:val="single" w:color="auto" w:sz="4" w:space="0"/>
            </w:tcBorders>
            <w:noWrap w:val="0"/>
            <w:vAlign w:val="center"/>
          </w:tcPr>
          <w:p w14:paraId="266D019F">
            <w:pPr>
              <w:widowControl/>
              <w:jc w:val="left"/>
              <w:rPr>
                <w:rFonts w:hint="eastAsia" w:ascii="宋体" w:hAnsi="宋体" w:eastAsia="宋体" w:cs="宋体"/>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164D64D">
            <w:pPr>
              <w:widowControl/>
              <w:jc w:val="left"/>
              <w:rPr>
                <w:rFonts w:hint="eastAsia" w:ascii="宋体" w:hAnsi="宋体" w:eastAsia="宋体" w:cs="宋体"/>
                <w:sz w:val="20"/>
                <w:szCs w:val="20"/>
              </w:rPr>
            </w:pPr>
          </w:p>
        </w:tc>
        <w:tc>
          <w:tcPr>
            <w:tcW w:w="3870" w:type="dxa"/>
            <w:vMerge w:val="continue"/>
            <w:tcBorders>
              <w:top w:val="single" w:color="auto" w:sz="4" w:space="0"/>
              <w:left w:val="single" w:color="auto" w:sz="4" w:space="0"/>
              <w:bottom w:val="single" w:color="auto" w:sz="4" w:space="0"/>
              <w:right w:val="single" w:color="auto" w:sz="4" w:space="0"/>
            </w:tcBorders>
            <w:noWrap w:val="0"/>
            <w:vAlign w:val="center"/>
          </w:tcPr>
          <w:p w14:paraId="5138FAE3">
            <w:pPr>
              <w:widowControl/>
              <w:jc w:val="left"/>
              <w:rPr>
                <w:rFonts w:hint="eastAsia" w:ascii="宋体" w:hAnsi="宋体" w:eastAsia="宋体" w:cs="宋体"/>
                <w:sz w:val="20"/>
                <w:szCs w:val="20"/>
              </w:rPr>
            </w:pPr>
          </w:p>
        </w:tc>
        <w:tc>
          <w:tcPr>
            <w:tcW w:w="1135" w:type="dxa"/>
            <w:vMerge w:val="continue"/>
            <w:tcBorders>
              <w:top w:val="single" w:color="auto" w:sz="4" w:space="0"/>
              <w:left w:val="single" w:color="auto" w:sz="4" w:space="0"/>
              <w:bottom w:val="single" w:color="auto" w:sz="4" w:space="0"/>
              <w:right w:val="single" w:color="auto" w:sz="4" w:space="0"/>
            </w:tcBorders>
            <w:noWrap w:val="0"/>
            <w:vAlign w:val="center"/>
          </w:tcPr>
          <w:p w14:paraId="5115964A">
            <w:pPr>
              <w:widowControl/>
              <w:jc w:val="left"/>
              <w:rPr>
                <w:rFonts w:hint="eastAsia" w:ascii="宋体" w:hAnsi="宋体" w:eastAsia="宋体" w:cs="宋体"/>
                <w:sz w:val="20"/>
                <w:szCs w:val="20"/>
              </w:rPr>
            </w:pPr>
          </w:p>
        </w:tc>
        <w:tc>
          <w:tcPr>
            <w:tcW w:w="553" w:type="dxa"/>
            <w:tcBorders>
              <w:top w:val="single" w:color="auto" w:sz="4" w:space="0"/>
              <w:left w:val="single" w:color="auto" w:sz="4" w:space="0"/>
              <w:bottom w:val="single" w:color="auto" w:sz="4" w:space="0"/>
              <w:right w:val="single" w:color="auto" w:sz="4" w:space="0"/>
            </w:tcBorders>
            <w:noWrap w:val="0"/>
            <w:vAlign w:val="center"/>
          </w:tcPr>
          <w:p w14:paraId="561E622E">
            <w:pPr>
              <w:jc w:val="center"/>
              <w:rPr>
                <w:rFonts w:hint="eastAsia" w:ascii="宋体" w:hAnsi="宋体" w:eastAsia="宋体" w:cs="宋体"/>
                <w:sz w:val="20"/>
                <w:szCs w:val="20"/>
              </w:rPr>
            </w:pPr>
            <w:r>
              <w:rPr>
                <w:rFonts w:hint="eastAsia" w:ascii="宋体" w:hAnsi="宋体" w:eastAsia="宋体" w:cs="宋体"/>
                <w:sz w:val="20"/>
                <w:szCs w:val="20"/>
              </w:rPr>
              <w:t>周</w:t>
            </w:r>
          </w:p>
        </w:tc>
        <w:tc>
          <w:tcPr>
            <w:tcW w:w="611" w:type="dxa"/>
            <w:tcBorders>
              <w:top w:val="single" w:color="auto" w:sz="4" w:space="0"/>
              <w:left w:val="single" w:color="auto" w:sz="4" w:space="0"/>
              <w:bottom w:val="single" w:color="auto" w:sz="4" w:space="0"/>
              <w:right w:val="single" w:color="auto" w:sz="4" w:space="0"/>
            </w:tcBorders>
            <w:noWrap w:val="0"/>
            <w:vAlign w:val="center"/>
          </w:tcPr>
          <w:p w14:paraId="653B85C8">
            <w:pPr>
              <w:jc w:val="center"/>
              <w:rPr>
                <w:rFonts w:hint="eastAsia" w:ascii="宋体" w:hAnsi="宋体" w:eastAsia="宋体" w:cs="宋体"/>
                <w:sz w:val="20"/>
                <w:szCs w:val="20"/>
              </w:rPr>
            </w:pPr>
            <w:r>
              <w:rPr>
                <w:rFonts w:hint="eastAsia" w:ascii="宋体" w:hAnsi="宋体" w:eastAsia="宋体" w:cs="宋体"/>
                <w:sz w:val="20"/>
                <w:szCs w:val="20"/>
              </w:rPr>
              <w:t>月</w:t>
            </w:r>
          </w:p>
        </w:tc>
        <w:tc>
          <w:tcPr>
            <w:tcW w:w="481" w:type="dxa"/>
            <w:tcBorders>
              <w:top w:val="single" w:color="auto" w:sz="4" w:space="0"/>
              <w:left w:val="single" w:color="auto" w:sz="4" w:space="0"/>
              <w:bottom w:val="single" w:color="auto" w:sz="4" w:space="0"/>
              <w:right w:val="single" w:color="auto" w:sz="4" w:space="0"/>
            </w:tcBorders>
            <w:noWrap w:val="0"/>
            <w:vAlign w:val="center"/>
          </w:tcPr>
          <w:p w14:paraId="2B05253A">
            <w:pPr>
              <w:jc w:val="center"/>
              <w:rPr>
                <w:rFonts w:hint="eastAsia" w:ascii="宋体" w:hAnsi="宋体" w:eastAsia="宋体" w:cs="宋体"/>
                <w:sz w:val="20"/>
                <w:szCs w:val="20"/>
              </w:rPr>
            </w:pPr>
            <w:r>
              <w:rPr>
                <w:rFonts w:hint="eastAsia" w:ascii="宋体" w:hAnsi="宋体" w:eastAsia="宋体" w:cs="宋体"/>
                <w:sz w:val="20"/>
                <w:szCs w:val="20"/>
              </w:rPr>
              <w:t>季</w:t>
            </w:r>
          </w:p>
        </w:tc>
      </w:tr>
      <w:tr w14:paraId="3B255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528" w:type="dxa"/>
            <w:vMerge w:val="restart"/>
            <w:tcBorders>
              <w:top w:val="single" w:color="auto" w:sz="4" w:space="0"/>
              <w:left w:val="single" w:color="auto" w:sz="4" w:space="0"/>
              <w:right w:val="single" w:color="auto" w:sz="4" w:space="0"/>
            </w:tcBorders>
            <w:noWrap w:val="0"/>
            <w:textDirection w:val="tbRlV"/>
            <w:vAlign w:val="center"/>
          </w:tcPr>
          <w:p w14:paraId="5227E583">
            <w:pPr>
              <w:ind w:left="113" w:right="113"/>
              <w:jc w:val="center"/>
              <w:rPr>
                <w:rFonts w:hint="eastAsia" w:ascii="宋体" w:hAnsi="宋体" w:eastAsia="宋体" w:cs="宋体"/>
                <w:sz w:val="20"/>
                <w:szCs w:val="20"/>
              </w:rPr>
            </w:pPr>
            <w:r>
              <w:rPr>
                <w:rFonts w:hint="eastAsia" w:ascii="宋体" w:hAnsi="宋体" w:eastAsia="宋体" w:cs="宋体"/>
                <w:sz w:val="20"/>
                <w:szCs w:val="20"/>
              </w:rPr>
              <w:t>自动喷淋系统</w:t>
            </w:r>
            <w:r>
              <w:rPr>
                <w:rFonts w:hint="eastAsia" w:ascii="宋体" w:hAnsi="宋体" w:cs="宋体"/>
                <w:sz w:val="20"/>
                <w:szCs w:val="20"/>
                <w:lang w:eastAsia="zh-CN"/>
              </w:rPr>
              <w:t>（</w:t>
            </w:r>
            <w:r>
              <w:rPr>
                <w:rFonts w:hint="eastAsia" w:ascii="宋体" w:hAnsi="宋体" w:cs="宋体"/>
                <w:sz w:val="20"/>
                <w:szCs w:val="20"/>
                <w:lang w:val="en-US" w:eastAsia="zh-CN"/>
              </w:rPr>
              <w:t>分值20分</w:t>
            </w:r>
            <w:r>
              <w:rPr>
                <w:rFonts w:hint="eastAsia" w:ascii="宋体" w:hAnsi="宋体" w:cs="宋体"/>
                <w:sz w:val="20"/>
                <w:szCs w:val="20"/>
                <w:lang w:eastAsia="zh-CN"/>
              </w:rPr>
              <w:t>）</w:t>
            </w:r>
          </w:p>
        </w:tc>
        <w:tc>
          <w:tcPr>
            <w:tcW w:w="528"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0F8DA00B">
            <w:pPr>
              <w:ind w:left="113" w:right="113"/>
              <w:rPr>
                <w:rFonts w:hint="eastAsia" w:ascii="宋体" w:hAnsi="宋体" w:eastAsia="宋体" w:cs="宋体"/>
                <w:sz w:val="20"/>
                <w:szCs w:val="20"/>
              </w:rPr>
            </w:pPr>
            <w:r>
              <w:rPr>
                <w:rFonts w:hint="eastAsia" w:ascii="宋体" w:hAnsi="宋体" w:eastAsia="宋体" w:cs="宋体"/>
                <w:sz w:val="20"/>
                <w:szCs w:val="20"/>
              </w:rPr>
              <w:t>自动喷淋各类控制柜（箱）</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06F9FC6">
            <w:pPr>
              <w:rPr>
                <w:rFonts w:hint="eastAsia" w:ascii="宋体" w:hAnsi="宋体" w:eastAsia="宋体" w:cs="宋体"/>
                <w:sz w:val="20"/>
                <w:szCs w:val="20"/>
              </w:rPr>
            </w:pPr>
            <w:r>
              <w:rPr>
                <w:rFonts w:hint="eastAsia" w:ascii="宋体" w:hAnsi="宋体" w:eastAsia="宋体" w:cs="宋体"/>
                <w:sz w:val="20"/>
                <w:szCs w:val="20"/>
              </w:rPr>
              <w:t>各类指示灯[含电源、信号]</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594B2B18">
            <w:pPr>
              <w:rPr>
                <w:rFonts w:hint="eastAsia" w:ascii="宋体" w:hAnsi="宋体" w:eastAsia="宋体" w:cs="宋体"/>
                <w:sz w:val="20"/>
                <w:szCs w:val="20"/>
              </w:rPr>
            </w:pPr>
            <w:r>
              <w:rPr>
                <w:rFonts w:hint="eastAsia" w:ascii="宋体" w:hAnsi="宋体" w:eastAsia="宋体" w:cs="宋体"/>
                <w:sz w:val="20"/>
                <w:szCs w:val="20"/>
              </w:rPr>
              <w:t>各类指示灯指示状态正常</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6433A6D1">
            <w:pPr>
              <w:rPr>
                <w:rFonts w:hint="eastAsia" w:ascii="宋体" w:hAnsi="宋体" w:eastAsia="宋体" w:cs="宋体"/>
                <w:sz w:val="20"/>
                <w:szCs w:val="20"/>
              </w:rPr>
            </w:pPr>
            <w:r>
              <w:rPr>
                <w:rFonts w:hint="eastAsia" w:ascii="宋体" w:hAnsi="宋体" w:eastAsia="宋体" w:cs="宋体"/>
                <w:sz w:val="20"/>
                <w:szCs w:val="20"/>
              </w:rPr>
              <w:t>指示不正常每处扣1分</w:t>
            </w:r>
          </w:p>
        </w:tc>
        <w:tc>
          <w:tcPr>
            <w:tcW w:w="553" w:type="dxa"/>
            <w:tcBorders>
              <w:top w:val="single" w:color="auto" w:sz="4" w:space="0"/>
              <w:left w:val="single" w:color="auto" w:sz="4" w:space="0"/>
              <w:bottom w:val="single" w:color="auto" w:sz="4" w:space="0"/>
              <w:right w:val="single" w:color="auto" w:sz="4" w:space="0"/>
            </w:tcBorders>
            <w:noWrap w:val="0"/>
            <w:vAlign w:val="top"/>
          </w:tcPr>
          <w:p w14:paraId="2E6098FE">
            <w:pPr>
              <w:jc w:val="center"/>
              <w:rPr>
                <w:rFonts w:hint="eastAsia" w:ascii="宋体" w:hAnsi="宋体" w:eastAsia="宋体" w:cs="宋体"/>
                <w:b/>
                <w:sz w:val="20"/>
                <w:szCs w:val="20"/>
              </w:rPr>
            </w:pPr>
            <w:r>
              <w:rPr>
                <w:rFonts w:hint="eastAsia" w:ascii="宋体" w:hAnsi="宋体" w:eastAsia="宋体" w:cs="宋体"/>
                <w:b/>
                <w:sz w:val="20"/>
                <w:szCs w:val="20"/>
              </w:rPr>
              <w:t>ⅴ</w:t>
            </w:r>
          </w:p>
        </w:tc>
        <w:tc>
          <w:tcPr>
            <w:tcW w:w="611" w:type="dxa"/>
            <w:tcBorders>
              <w:top w:val="single" w:color="auto" w:sz="4" w:space="0"/>
              <w:left w:val="single" w:color="auto" w:sz="4" w:space="0"/>
              <w:bottom w:val="single" w:color="auto" w:sz="4" w:space="0"/>
              <w:right w:val="single" w:color="auto" w:sz="4" w:space="0"/>
            </w:tcBorders>
            <w:noWrap w:val="0"/>
            <w:vAlign w:val="top"/>
          </w:tcPr>
          <w:p w14:paraId="31A4C4AE">
            <w:pPr>
              <w:jc w:val="center"/>
              <w:rPr>
                <w:rFonts w:hint="eastAsia" w:ascii="宋体" w:hAnsi="宋体" w:eastAsia="宋体" w:cs="宋体"/>
                <w:sz w:val="20"/>
                <w:szCs w:val="20"/>
              </w:rPr>
            </w:pPr>
          </w:p>
        </w:tc>
        <w:tc>
          <w:tcPr>
            <w:tcW w:w="481" w:type="dxa"/>
            <w:tcBorders>
              <w:top w:val="single" w:color="auto" w:sz="4" w:space="0"/>
              <w:left w:val="single" w:color="auto" w:sz="4" w:space="0"/>
              <w:bottom w:val="single" w:color="auto" w:sz="4" w:space="0"/>
              <w:right w:val="single" w:color="auto" w:sz="4" w:space="0"/>
            </w:tcBorders>
            <w:noWrap w:val="0"/>
            <w:vAlign w:val="top"/>
          </w:tcPr>
          <w:p w14:paraId="18734531">
            <w:pPr>
              <w:jc w:val="center"/>
              <w:rPr>
                <w:rFonts w:hint="eastAsia" w:ascii="宋体" w:hAnsi="宋体" w:eastAsia="宋体" w:cs="宋体"/>
                <w:sz w:val="20"/>
                <w:szCs w:val="20"/>
              </w:rPr>
            </w:pPr>
          </w:p>
        </w:tc>
      </w:tr>
      <w:tr w14:paraId="7E571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28" w:type="dxa"/>
            <w:vMerge w:val="continue"/>
            <w:tcBorders>
              <w:left w:val="single" w:color="auto" w:sz="4" w:space="0"/>
              <w:right w:val="single" w:color="auto" w:sz="4" w:space="0"/>
            </w:tcBorders>
            <w:noWrap w:val="0"/>
            <w:vAlign w:val="center"/>
          </w:tcPr>
          <w:p w14:paraId="47164B57">
            <w:pPr>
              <w:widowControl/>
              <w:jc w:val="left"/>
              <w:rPr>
                <w:rFonts w:hint="eastAsia" w:ascii="宋体" w:hAnsi="宋体" w:eastAsia="宋体" w:cs="宋体"/>
                <w:sz w:val="20"/>
                <w:szCs w:val="20"/>
              </w:rPr>
            </w:pPr>
          </w:p>
        </w:tc>
        <w:tc>
          <w:tcPr>
            <w:tcW w:w="528" w:type="dxa"/>
            <w:vMerge w:val="continue"/>
            <w:tcBorders>
              <w:top w:val="single" w:color="auto" w:sz="4" w:space="0"/>
              <w:left w:val="single" w:color="auto" w:sz="4" w:space="0"/>
              <w:bottom w:val="single" w:color="auto" w:sz="4" w:space="0"/>
              <w:right w:val="single" w:color="auto" w:sz="4" w:space="0"/>
            </w:tcBorders>
            <w:noWrap w:val="0"/>
            <w:vAlign w:val="center"/>
          </w:tcPr>
          <w:p w14:paraId="270CA38A">
            <w:pPr>
              <w:widowControl/>
              <w:jc w:val="left"/>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F91F29F">
            <w:pPr>
              <w:rPr>
                <w:rFonts w:hint="eastAsia" w:ascii="宋体" w:hAnsi="宋体" w:eastAsia="宋体" w:cs="宋体"/>
                <w:sz w:val="20"/>
                <w:szCs w:val="20"/>
              </w:rPr>
            </w:pPr>
            <w:r>
              <w:rPr>
                <w:rFonts w:hint="eastAsia" w:ascii="宋体" w:hAnsi="宋体" w:eastAsia="宋体" w:cs="宋体"/>
                <w:sz w:val="20"/>
                <w:szCs w:val="20"/>
              </w:rPr>
              <w:t>各类开关</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52DC6C8A">
            <w:pPr>
              <w:rPr>
                <w:rFonts w:hint="eastAsia" w:ascii="宋体" w:hAnsi="宋体" w:eastAsia="宋体" w:cs="宋体"/>
                <w:sz w:val="20"/>
                <w:szCs w:val="20"/>
              </w:rPr>
            </w:pPr>
            <w:r>
              <w:rPr>
                <w:rFonts w:hint="eastAsia" w:ascii="宋体" w:hAnsi="宋体" w:eastAsia="宋体" w:cs="宋体"/>
                <w:sz w:val="20"/>
                <w:szCs w:val="20"/>
              </w:rPr>
              <w:t>开关功能标识清晰、所掷位置正确</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350CA05F">
            <w:pPr>
              <w:rPr>
                <w:rFonts w:hint="eastAsia" w:ascii="宋体" w:hAnsi="宋体" w:eastAsia="宋体" w:cs="宋体"/>
                <w:sz w:val="20"/>
                <w:szCs w:val="20"/>
              </w:rPr>
            </w:pPr>
            <w:r>
              <w:rPr>
                <w:rFonts w:hint="eastAsia" w:ascii="宋体" w:hAnsi="宋体" w:eastAsia="宋体" w:cs="宋体"/>
                <w:sz w:val="20"/>
                <w:szCs w:val="20"/>
              </w:rPr>
              <w:t>位置不正确每处扣0.5分</w:t>
            </w:r>
          </w:p>
        </w:tc>
        <w:tc>
          <w:tcPr>
            <w:tcW w:w="553" w:type="dxa"/>
            <w:tcBorders>
              <w:top w:val="single" w:color="auto" w:sz="4" w:space="0"/>
              <w:left w:val="single" w:color="auto" w:sz="4" w:space="0"/>
              <w:bottom w:val="single" w:color="auto" w:sz="4" w:space="0"/>
              <w:right w:val="single" w:color="auto" w:sz="4" w:space="0"/>
            </w:tcBorders>
            <w:noWrap w:val="0"/>
            <w:vAlign w:val="top"/>
          </w:tcPr>
          <w:p w14:paraId="0CB327AF">
            <w:pPr>
              <w:jc w:val="center"/>
              <w:rPr>
                <w:rFonts w:hint="eastAsia" w:ascii="宋体" w:hAnsi="宋体" w:eastAsia="宋体" w:cs="宋体"/>
                <w:b/>
                <w:sz w:val="20"/>
                <w:szCs w:val="20"/>
              </w:rPr>
            </w:pPr>
            <w:r>
              <w:rPr>
                <w:rFonts w:hint="eastAsia" w:ascii="宋体" w:hAnsi="宋体" w:eastAsia="宋体" w:cs="宋体"/>
                <w:b/>
                <w:sz w:val="20"/>
                <w:szCs w:val="20"/>
              </w:rPr>
              <w:t>ⅴ</w:t>
            </w:r>
          </w:p>
        </w:tc>
        <w:tc>
          <w:tcPr>
            <w:tcW w:w="611" w:type="dxa"/>
            <w:tcBorders>
              <w:top w:val="single" w:color="auto" w:sz="4" w:space="0"/>
              <w:left w:val="single" w:color="auto" w:sz="4" w:space="0"/>
              <w:bottom w:val="single" w:color="auto" w:sz="4" w:space="0"/>
              <w:right w:val="single" w:color="auto" w:sz="4" w:space="0"/>
            </w:tcBorders>
            <w:noWrap w:val="0"/>
            <w:vAlign w:val="top"/>
          </w:tcPr>
          <w:p w14:paraId="395B11E7">
            <w:pPr>
              <w:jc w:val="center"/>
              <w:rPr>
                <w:rFonts w:hint="eastAsia" w:ascii="宋体" w:hAnsi="宋体" w:eastAsia="宋体" w:cs="宋体"/>
                <w:sz w:val="20"/>
                <w:szCs w:val="20"/>
              </w:rPr>
            </w:pPr>
          </w:p>
        </w:tc>
        <w:tc>
          <w:tcPr>
            <w:tcW w:w="481" w:type="dxa"/>
            <w:tcBorders>
              <w:top w:val="single" w:color="auto" w:sz="4" w:space="0"/>
              <w:left w:val="single" w:color="auto" w:sz="4" w:space="0"/>
              <w:bottom w:val="single" w:color="auto" w:sz="4" w:space="0"/>
              <w:right w:val="single" w:color="auto" w:sz="4" w:space="0"/>
            </w:tcBorders>
            <w:noWrap w:val="0"/>
            <w:vAlign w:val="top"/>
          </w:tcPr>
          <w:p w14:paraId="4F099333">
            <w:pPr>
              <w:jc w:val="center"/>
              <w:rPr>
                <w:rFonts w:hint="eastAsia" w:ascii="宋体" w:hAnsi="宋体" w:eastAsia="宋体" w:cs="宋体"/>
                <w:sz w:val="20"/>
                <w:szCs w:val="20"/>
              </w:rPr>
            </w:pPr>
          </w:p>
        </w:tc>
      </w:tr>
      <w:tr w14:paraId="17052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jc w:val="center"/>
        </w:trPr>
        <w:tc>
          <w:tcPr>
            <w:tcW w:w="528" w:type="dxa"/>
            <w:vMerge w:val="continue"/>
            <w:tcBorders>
              <w:left w:val="single" w:color="auto" w:sz="4" w:space="0"/>
              <w:right w:val="single" w:color="auto" w:sz="4" w:space="0"/>
            </w:tcBorders>
            <w:noWrap w:val="0"/>
            <w:vAlign w:val="center"/>
          </w:tcPr>
          <w:p w14:paraId="471E696C">
            <w:pPr>
              <w:widowControl/>
              <w:jc w:val="left"/>
              <w:rPr>
                <w:rFonts w:hint="eastAsia" w:ascii="宋体" w:hAnsi="宋体" w:eastAsia="宋体" w:cs="宋体"/>
                <w:sz w:val="20"/>
                <w:szCs w:val="20"/>
              </w:rPr>
            </w:pPr>
          </w:p>
        </w:tc>
        <w:tc>
          <w:tcPr>
            <w:tcW w:w="528" w:type="dxa"/>
            <w:vMerge w:val="continue"/>
            <w:tcBorders>
              <w:top w:val="single" w:color="auto" w:sz="4" w:space="0"/>
              <w:left w:val="single" w:color="auto" w:sz="4" w:space="0"/>
              <w:bottom w:val="single" w:color="auto" w:sz="4" w:space="0"/>
              <w:right w:val="single" w:color="auto" w:sz="4" w:space="0"/>
            </w:tcBorders>
            <w:noWrap w:val="0"/>
            <w:vAlign w:val="center"/>
          </w:tcPr>
          <w:p w14:paraId="0D95D953">
            <w:pPr>
              <w:widowControl/>
              <w:jc w:val="left"/>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6D53287">
            <w:pPr>
              <w:rPr>
                <w:rFonts w:hint="eastAsia" w:ascii="宋体" w:hAnsi="宋体" w:eastAsia="宋体" w:cs="宋体"/>
                <w:sz w:val="20"/>
                <w:szCs w:val="20"/>
              </w:rPr>
            </w:pPr>
            <w:r>
              <w:rPr>
                <w:rFonts w:hint="eastAsia" w:ascii="宋体" w:hAnsi="宋体" w:eastAsia="宋体" w:cs="宋体"/>
                <w:sz w:val="20"/>
                <w:szCs w:val="20"/>
              </w:rPr>
              <w:t>各类电器触点</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7D3C5E67">
            <w:pPr>
              <w:rPr>
                <w:rFonts w:hint="eastAsia" w:ascii="宋体" w:hAnsi="宋体" w:eastAsia="宋体" w:cs="宋体"/>
                <w:sz w:val="20"/>
                <w:szCs w:val="20"/>
              </w:rPr>
            </w:pPr>
            <w:r>
              <w:rPr>
                <w:rFonts w:hint="eastAsia" w:ascii="宋体" w:hAnsi="宋体" w:eastAsia="宋体" w:cs="宋体"/>
                <w:sz w:val="20"/>
                <w:szCs w:val="20"/>
              </w:rPr>
              <w:t>各类电器触点光滑完好、无烧损现象</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7EACFCB9">
            <w:pPr>
              <w:rPr>
                <w:rFonts w:hint="eastAsia" w:ascii="宋体" w:hAnsi="宋体" w:eastAsia="宋体" w:cs="宋体"/>
                <w:sz w:val="20"/>
                <w:szCs w:val="20"/>
              </w:rPr>
            </w:pPr>
            <w:r>
              <w:rPr>
                <w:rFonts w:hint="eastAsia" w:ascii="宋体" w:hAnsi="宋体" w:eastAsia="宋体" w:cs="宋体"/>
                <w:sz w:val="20"/>
                <w:szCs w:val="20"/>
              </w:rPr>
              <w:t>不合格每一处扣0.05分</w:t>
            </w:r>
          </w:p>
        </w:tc>
        <w:tc>
          <w:tcPr>
            <w:tcW w:w="553" w:type="dxa"/>
            <w:tcBorders>
              <w:top w:val="single" w:color="auto" w:sz="4" w:space="0"/>
              <w:left w:val="single" w:color="auto" w:sz="4" w:space="0"/>
              <w:bottom w:val="single" w:color="auto" w:sz="4" w:space="0"/>
              <w:right w:val="single" w:color="auto" w:sz="4" w:space="0"/>
            </w:tcBorders>
            <w:noWrap w:val="0"/>
            <w:vAlign w:val="top"/>
          </w:tcPr>
          <w:p w14:paraId="6A9593A0">
            <w:pPr>
              <w:jc w:val="center"/>
              <w:rPr>
                <w:rFonts w:hint="eastAsia" w:ascii="宋体" w:hAnsi="宋体" w:eastAsia="宋体" w:cs="宋体"/>
                <w:sz w:val="20"/>
                <w:szCs w:val="20"/>
              </w:rPr>
            </w:pPr>
          </w:p>
        </w:tc>
        <w:tc>
          <w:tcPr>
            <w:tcW w:w="611" w:type="dxa"/>
            <w:tcBorders>
              <w:top w:val="single" w:color="auto" w:sz="4" w:space="0"/>
              <w:left w:val="single" w:color="auto" w:sz="4" w:space="0"/>
              <w:bottom w:val="single" w:color="auto" w:sz="4" w:space="0"/>
              <w:right w:val="single" w:color="auto" w:sz="4" w:space="0"/>
            </w:tcBorders>
            <w:noWrap w:val="0"/>
            <w:vAlign w:val="top"/>
          </w:tcPr>
          <w:p w14:paraId="5032B9C8">
            <w:pPr>
              <w:jc w:val="center"/>
              <w:rPr>
                <w:rFonts w:hint="eastAsia" w:ascii="宋体" w:hAnsi="宋体" w:eastAsia="宋体" w:cs="宋体"/>
                <w:sz w:val="20"/>
                <w:szCs w:val="20"/>
              </w:rPr>
            </w:pPr>
          </w:p>
        </w:tc>
        <w:tc>
          <w:tcPr>
            <w:tcW w:w="481" w:type="dxa"/>
            <w:tcBorders>
              <w:top w:val="single" w:color="auto" w:sz="4" w:space="0"/>
              <w:left w:val="single" w:color="auto" w:sz="4" w:space="0"/>
              <w:bottom w:val="single" w:color="auto" w:sz="4" w:space="0"/>
              <w:right w:val="single" w:color="auto" w:sz="4" w:space="0"/>
            </w:tcBorders>
            <w:noWrap w:val="0"/>
            <w:vAlign w:val="top"/>
          </w:tcPr>
          <w:p w14:paraId="28FD95B3">
            <w:pPr>
              <w:jc w:val="center"/>
              <w:rPr>
                <w:rFonts w:hint="eastAsia" w:ascii="宋体" w:hAnsi="宋体" w:eastAsia="宋体" w:cs="宋体"/>
                <w:b/>
                <w:sz w:val="20"/>
                <w:szCs w:val="20"/>
              </w:rPr>
            </w:pPr>
            <w:r>
              <w:rPr>
                <w:rFonts w:hint="eastAsia" w:ascii="宋体" w:hAnsi="宋体" w:eastAsia="宋体" w:cs="宋体"/>
                <w:b/>
                <w:sz w:val="20"/>
                <w:szCs w:val="20"/>
              </w:rPr>
              <w:t>ⅴ</w:t>
            </w:r>
          </w:p>
        </w:tc>
      </w:tr>
      <w:tr w14:paraId="647A1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528" w:type="dxa"/>
            <w:vMerge w:val="continue"/>
            <w:tcBorders>
              <w:left w:val="single" w:color="auto" w:sz="4" w:space="0"/>
              <w:right w:val="single" w:color="auto" w:sz="4" w:space="0"/>
            </w:tcBorders>
            <w:noWrap w:val="0"/>
            <w:vAlign w:val="center"/>
          </w:tcPr>
          <w:p w14:paraId="588A4C0A">
            <w:pPr>
              <w:widowControl/>
              <w:jc w:val="left"/>
              <w:rPr>
                <w:rFonts w:hint="eastAsia" w:ascii="宋体" w:hAnsi="宋体" w:eastAsia="宋体" w:cs="宋体"/>
                <w:sz w:val="20"/>
                <w:szCs w:val="20"/>
              </w:rPr>
            </w:pPr>
          </w:p>
        </w:tc>
        <w:tc>
          <w:tcPr>
            <w:tcW w:w="528" w:type="dxa"/>
            <w:vMerge w:val="continue"/>
            <w:tcBorders>
              <w:top w:val="single" w:color="auto" w:sz="4" w:space="0"/>
              <w:left w:val="single" w:color="auto" w:sz="4" w:space="0"/>
              <w:bottom w:val="single" w:color="auto" w:sz="4" w:space="0"/>
              <w:right w:val="single" w:color="auto" w:sz="4" w:space="0"/>
            </w:tcBorders>
            <w:noWrap w:val="0"/>
            <w:vAlign w:val="center"/>
          </w:tcPr>
          <w:p w14:paraId="06080F8D">
            <w:pPr>
              <w:widowControl/>
              <w:jc w:val="left"/>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0898A913">
            <w:pPr>
              <w:rPr>
                <w:rFonts w:hint="eastAsia" w:ascii="宋体" w:hAnsi="宋体" w:eastAsia="宋体" w:cs="宋体"/>
                <w:sz w:val="20"/>
                <w:szCs w:val="20"/>
              </w:rPr>
            </w:pPr>
            <w:r>
              <w:rPr>
                <w:rFonts w:hint="eastAsia" w:ascii="宋体" w:hAnsi="宋体" w:eastAsia="宋体" w:cs="宋体"/>
                <w:sz w:val="20"/>
                <w:szCs w:val="20"/>
              </w:rPr>
              <w:t>各种器件接线端子及端子接线</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2CB8EF28">
            <w:pPr>
              <w:rPr>
                <w:rFonts w:hint="eastAsia" w:ascii="宋体" w:hAnsi="宋体" w:eastAsia="宋体" w:cs="宋体"/>
                <w:sz w:val="20"/>
                <w:szCs w:val="20"/>
              </w:rPr>
            </w:pPr>
            <w:r>
              <w:rPr>
                <w:rFonts w:hint="eastAsia" w:ascii="宋体" w:hAnsi="宋体" w:eastAsia="宋体" w:cs="宋体"/>
                <w:sz w:val="20"/>
                <w:szCs w:val="20"/>
              </w:rPr>
              <w:t>各器件接线端及接线端子接线要连接牢靠，无锈蚀、烧损现象。线端码标识清晰</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53D9F450">
            <w:pPr>
              <w:rPr>
                <w:rFonts w:hint="eastAsia" w:ascii="宋体" w:hAnsi="宋体" w:eastAsia="宋体" w:cs="宋体"/>
                <w:sz w:val="20"/>
                <w:szCs w:val="20"/>
              </w:rPr>
            </w:pPr>
            <w:r>
              <w:rPr>
                <w:rFonts w:hint="eastAsia" w:ascii="宋体" w:hAnsi="宋体" w:eastAsia="宋体" w:cs="宋体"/>
                <w:sz w:val="20"/>
                <w:szCs w:val="20"/>
              </w:rPr>
              <w:t>不合格每一处扣0.05分</w:t>
            </w:r>
          </w:p>
        </w:tc>
        <w:tc>
          <w:tcPr>
            <w:tcW w:w="553" w:type="dxa"/>
            <w:tcBorders>
              <w:top w:val="single" w:color="auto" w:sz="4" w:space="0"/>
              <w:left w:val="single" w:color="auto" w:sz="4" w:space="0"/>
              <w:bottom w:val="single" w:color="auto" w:sz="4" w:space="0"/>
              <w:right w:val="single" w:color="auto" w:sz="4" w:space="0"/>
            </w:tcBorders>
            <w:noWrap w:val="0"/>
            <w:vAlign w:val="top"/>
          </w:tcPr>
          <w:p w14:paraId="3015A88B">
            <w:pPr>
              <w:jc w:val="center"/>
              <w:rPr>
                <w:rFonts w:hint="eastAsia" w:ascii="宋体" w:hAnsi="宋体" w:eastAsia="宋体" w:cs="宋体"/>
                <w:sz w:val="20"/>
                <w:szCs w:val="20"/>
              </w:rPr>
            </w:pPr>
          </w:p>
        </w:tc>
        <w:tc>
          <w:tcPr>
            <w:tcW w:w="611" w:type="dxa"/>
            <w:tcBorders>
              <w:top w:val="single" w:color="auto" w:sz="4" w:space="0"/>
              <w:left w:val="single" w:color="auto" w:sz="4" w:space="0"/>
              <w:bottom w:val="single" w:color="auto" w:sz="4" w:space="0"/>
              <w:right w:val="single" w:color="auto" w:sz="4" w:space="0"/>
            </w:tcBorders>
            <w:noWrap w:val="0"/>
            <w:vAlign w:val="top"/>
          </w:tcPr>
          <w:p w14:paraId="2435C4D6">
            <w:pPr>
              <w:jc w:val="center"/>
              <w:rPr>
                <w:rFonts w:hint="eastAsia" w:ascii="宋体" w:hAnsi="宋体" w:eastAsia="宋体" w:cs="宋体"/>
                <w:sz w:val="20"/>
                <w:szCs w:val="20"/>
              </w:rPr>
            </w:pPr>
          </w:p>
        </w:tc>
        <w:tc>
          <w:tcPr>
            <w:tcW w:w="481" w:type="dxa"/>
            <w:tcBorders>
              <w:top w:val="single" w:color="auto" w:sz="4" w:space="0"/>
              <w:left w:val="single" w:color="auto" w:sz="4" w:space="0"/>
              <w:bottom w:val="single" w:color="auto" w:sz="4" w:space="0"/>
              <w:right w:val="single" w:color="auto" w:sz="4" w:space="0"/>
            </w:tcBorders>
            <w:noWrap w:val="0"/>
            <w:vAlign w:val="center"/>
          </w:tcPr>
          <w:p w14:paraId="6AF7A0A0">
            <w:pPr>
              <w:jc w:val="center"/>
              <w:rPr>
                <w:rFonts w:hint="eastAsia" w:ascii="宋体" w:hAnsi="宋体" w:eastAsia="宋体" w:cs="宋体"/>
                <w:b/>
                <w:sz w:val="20"/>
                <w:szCs w:val="20"/>
              </w:rPr>
            </w:pPr>
            <w:r>
              <w:rPr>
                <w:rFonts w:hint="eastAsia" w:ascii="宋体" w:hAnsi="宋体" w:eastAsia="宋体" w:cs="宋体"/>
                <w:b/>
                <w:sz w:val="20"/>
                <w:szCs w:val="20"/>
              </w:rPr>
              <w:t>ⅴ</w:t>
            </w:r>
          </w:p>
        </w:tc>
      </w:tr>
      <w:tr w14:paraId="1AD05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6" w:hRule="atLeast"/>
          <w:jc w:val="center"/>
        </w:trPr>
        <w:tc>
          <w:tcPr>
            <w:tcW w:w="528" w:type="dxa"/>
            <w:vMerge w:val="continue"/>
            <w:tcBorders>
              <w:left w:val="single" w:color="auto" w:sz="4" w:space="0"/>
              <w:right w:val="single" w:color="auto" w:sz="4" w:space="0"/>
            </w:tcBorders>
            <w:noWrap w:val="0"/>
            <w:vAlign w:val="center"/>
          </w:tcPr>
          <w:p w14:paraId="3A43079F">
            <w:pPr>
              <w:widowControl/>
              <w:jc w:val="left"/>
              <w:rPr>
                <w:rFonts w:hint="eastAsia" w:ascii="宋体" w:hAnsi="宋体" w:eastAsia="宋体" w:cs="宋体"/>
                <w:sz w:val="20"/>
                <w:szCs w:val="20"/>
              </w:rPr>
            </w:pPr>
          </w:p>
        </w:tc>
        <w:tc>
          <w:tcPr>
            <w:tcW w:w="528" w:type="dxa"/>
            <w:vMerge w:val="continue"/>
            <w:tcBorders>
              <w:top w:val="single" w:color="auto" w:sz="4" w:space="0"/>
              <w:left w:val="single" w:color="auto" w:sz="4" w:space="0"/>
              <w:bottom w:val="single" w:color="auto" w:sz="4" w:space="0"/>
              <w:right w:val="single" w:color="auto" w:sz="4" w:space="0"/>
            </w:tcBorders>
            <w:noWrap w:val="0"/>
            <w:vAlign w:val="center"/>
          </w:tcPr>
          <w:p w14:paraId="37601483">
            <w:pPr>
              <w:widowControl/>
              <w:jc w:val="left"/>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1A547CC">
            <w:pPr>
              <w:rPr>
                <w:rFonts w:hint="eastAsia" w:ascii="宋体" w:hAnsi="宋体" w:eastAsia="宋体" w:cs="宋体"/>
                <w:sz w:val="20"/>
                <w:szCs w:val="20"/>
              </w:rPr>
            </w:pPr>
            <w:r>
              <w:rPr>
                <w:rFonts w:hint="eastAsia" w:ascii="宋体" w:hAnsi="宋体" w:eastAsia="宋体" w:cs="宋体"/>
                <w:sz w:val="20"/>
                <w:szCs w:val="20"/>
              </w:rPr>
              <w:t>时间继电器，热保护继电器的整定值设置正确</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38939C62">
            <w:pPr>
              <w:rPr>
                <w:rFonts w:hint="eastAsia" w:ascii="宋体" w:hAnsi="宋体" w:eastAsia="宋体" w:cs="宋体"/>
                <w:sz w:val="20"/>
                <w:szCs w:val="20"/>
              </w:rPr>
            </w:pPr>
            <w:r>
              <w:rPr>
                <w:rFonts w:hint="eastAsia" w:ascii="宋体" w:hAnsi="宋体" w:eastAsia="宋体" w:cs="宋体"/>
                <w:sz w:val="20"/>
                <w:szCs w:val="20"/>
              </w:rPr>
              <w:t>“自动”、“备用”泵转换时间继电器的整定值设置为5秒；星—三角降压起动时间继电器的整定值根据降压起动过程具体设定。热保护继电器的电流整定值为电动机额定电流的1.25倍（通常）</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5E80BE9B">
            <w:pPr>
              <w:rPr>
                <w:rFonts w:hint="eastAsia" w:ascii="宋体" w:hAnsi="宋体" w:eastAsia="宋体" w:cs="宋体"/>
                <w:sz w:val="20"/>
                <w:szCs w:val="20"/>
              </w:rPr>
            </w:pPr>
            <w:r>
              <w:rPr>
                <w:rFonts w:hint="eastAsia" w:ascii="宋体" w:hAnsi="宋体" w:eastAsia="宋体" w:cs="宋体"/>
                <w:sz w:val="20"/>
                <w:szCs w:val="20"/>
              </w:rPr>
              <w:t>整定值设置不准确每一处扣2分</w:t>
            </w:r>
          </w:p>
        </w:tc>
        <w:tc>
          <w:tcPr>
            <w:tcW w:w="553" w:type="dxa"/>
            <w:tcBorders>
              <w:top w:val="single" w:color="auto" w:sz="4" w:space="0"/>
              <w:left w:val="single" w:color="auto" w:sz="4" w:space="0"/>
              <w:bottom w:val="single" w:color="auto" w:sz="4" w:space="0"/>
              <w:right w:val="single" w:color="auto" w:sz="4" w:space="0"/>
            </w:tcBorders>
            <w:noWrap w:val="0"/>
            <w:vAlign w:val="top"/>
          </w:tcPr>
          <w:p w14:paraId="4B2123CA">
            <w:pPr>
              <w:jc w:val="center"/>
              <w:rPr>
                <w:rFonts w:hint="eastAsia" w:ascii="宋体" w:hAnsi="宋体" w:eastAsia="宋体" w:cs="宋体"/>
                <w:sz w:val="20"/>
                <w:szCs w:val="20"/>
              </w:rPr>
            </w:pPr>
          </w:p>
        </w:tc>
        <w:tc>
          <w:tcPr>
            <w:tcW w:w="611" w:type="dxa"/>
            <w:tcBorders>
              <w:top w:val="single" w:color="auto" w:sz="4" w:space="0"/>
              <w:left w:val="single" w:color="auto" w:sz="4" w:space="0"/>
              <w:bottom w:val="single" w:color="auto" w:sz="4" w:space="0"/>
              <w:right w:val="single" w:color="auto" w:sz="4" w:space="0"/>
            </w:tcBorders>
            <w:noWrap w:val="0"/>
            <w:vAlign w:val="top"/>
          </w:tcPr>
          <w:p w14:paraId="1FDC53DF">
            <w:pPr>
              <w:jc w:val="center"/>
              <w:rPr>
                <w:rFonts w:hint="eastAsia" w:ascii="宋体" w:hAnsi="宋体" w:eastAsia="宋体" w:cs="宋体"/>
                <w:sz w:val="20"/>
                <w:szCs w:val="20"/>
              </w:rPr>
            </w:pPr>
          </w:p>
        </w:tc>
        <w:tc>
          <w:tcPr>
            <w:tcW w:w="481" w:type="dxa"/>
            <w:tcBorders>
              <w:top w:val="single" w:color="auto" w:sz="4" w:space="0"/>
              <w:left w:val="single" w:color="auto" w:sz="4" w:space="0"/>
              <w:bottom w:val="single" w:color="auto" w:sz="4" w:space="0"/>
              <w:right w:val="single" w:color="auto" w:sz="4" w:space="0"/>
            </w:tcBorders>
            <w:noWrap w:val="0"/>
            <w:vAlign w:val="center"/>
          </w:tcPr>
          <w:p w14:paraId="39FCF3AD">
            <w:pPr>
              <w:jc w:val="center"/>
              <w:rPr>
                <w:rFonts w:hint="eastAsia" w:ascii="宋体" w:hAnsi="宋体" w:eastAsia="宋体" w:cs="宋体"/>
                <w:b/>
                <w:sz w:val="20"/>
                <w:szCs w:val="20"/>
              </w:rPr>
            </w:pPr>
          </w:p>
        </w:tc>
      </w:tr>
      <w:tr w14:paraId="5CA6B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8" w:hRule="atLeast"/>
          <w:jc w:val="center"/>
        </w:trPr>
        <w:tc>
          <w:tcPr>
            <w:tcW w:w="528" w:type="dxa"/>
            <w:vMerge w:val="continue"/>
            <w:tcBorders>
              <w:left w:val="single" w:color="auto" w:sz="4" w:space="0"/>
              <w:right w:val="single" w:color="auto" w:sz="4" w:space="0"/>
            </w:tcBorders>
            <w:noWrap w:val="0"/>
            <w:vAlign w:val="center"/>
          </w:tcPr>
          <w:p w14:paraId="1B97EFDE">
            <w:pPr>
              <w:widowControl/>
              <w:jc w:val="left"/>
              <w:rPr>
                <w:rFonts w:hint="eastAsia" w:ascii="宋体" w:hAnsi="宋体" w:eastAsia="宋体" w:cs="宋体"/>
                <w:sz w:val="20"/>
                <w:szCs w:val="20"/>
              </w:rPr>
            </w:pPr>
          </w:p>
        </w:tc>
        <w:tc>
          <w:tcPr>
            <w:tcW w:w="528" w:type="dxa"/>
            <w:vMerge w:val="continue"/>
            <w:tcBorders>
              <w:top w:val="single" w:color="auto" w:sz="4" w:space="0"/>
              <w:left w:val="single" w:color="auto" w:sz="4" w:space="0"/>
              <w:bottom w:val="single" w:color="auto" w:sz="4" w:space="0"/>
              <w:right w:val="single" w:color="auto" w:sz="4" w:space="0"/>
            </w:tcBorders>
            <w:noWrap w:val="0"/>
            <w:vAlign w:val="center"/>
          </w:tcPr>
          <w:p w14:paraId="4A9138A8">
            <w:pPr>
              <w:widowControl/>
              <w:jc w:val="left"/>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FADA020">
            <w:pPr>
              <w:rPr>
                <w:rFonts w:hint="eastAsia" w:ascii="宋体" w:hAnsi="宋体" w:eastAsia="宋体" w:cs="宋体"/>
                <w:sz w:val="20"/>
                <w:szCs w:val="20"/>
              </w:rPr>
            </w:pPr>
            <w:r>
              <w:rPr>
                <w:rFonts w:hint="eastAsia" w:ascii="宋体" w:hAnsi="宋体" w:eastAsia="宋体" w:cs="宋体"/>
                <w:sz w:val="20"/>
                <w:szCs w:val="20"/>
              </w:rPr>
              <w:t>“自动”、“备用”控制状态转换测试</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3DD82005">
            <w:pPr>
              <w:rPr>
                <w:rFonts w:hint="eastAsia" w:ascii="宋体" w:hAnsi="宋体" w:eastAsia="宋体" w:cs="宋体"/>
                <w:sz w:val="20"/>
                <w:szCs w:val="20"/>
              </w:rPr>
            </w:pPr>
            <w:r>
              <w:rPr>
                <w:rFonts w:hint="eastAsia" w:ascii="宋体" w:hAnsi="宋体" w:eastAsia="宋体" w:cs="宋体"/>
                <w:sz w:val="20"/>
                <w:szCs w:val="20"/>
              </w:rPr>
              <w:t>在“自动”状态下，模拟电源故障，能够从“自动”状态转换到“备用”状态</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002632A7">
            <w:pPr>
              <w:rPr>
                <w:rFonts w:hint="eastAsia" w:ascii="宋体" w:hAnsi="宋体" w:eastAsia="宋体" w:cs="宋体"/>
                <w:sz w:val="20"/>
                <w:szCs w:val="20"/>
              </w:rPr>
            </w:pPr>
            <w:r>
              <w:rPr>
                <w:rFonts w:hint="eastAsia" w:ascii="宋体" w:hAnsi="宋体" w:eastAsia="宋体" w:cs="宋体"/>
                <w:sz w:val="20"/>
                <w:szCs w:val="20"/>
              </w:rPr>
              <w:t>不能转换扣2分</w:t>
            </w:r>
          </w:p>
        </w:tc>
        <w:tc>
          <w:tcPr>
            <w:tcW w:w="553" w:type="dxa"/>
            <w:tcBorders>
              <w:top w:val="single" w:color="auto" w:sz="4" w:space="0"/>
              <w:left w:val="single" w:color="auto" w:sz="4" w:space="0"/>
              <w:bottom w:val="single" w:color="auto" w:sz="4" w:space="0"/>
              <w:right w:val="single" w:color="auto" w:sz="4" w:space="0"/>
            </w:tcBorders>
            <w:noWrap w:val="0"/>
            <w:vAlign w:val="top"/>
          </w:tcPr>
          <w:p w14:paraId="7EB24E4A">
            <w:pPr>
              <w:jc w:val="center"/>
              <w:rPr>
                <w:rFonts w:hint="eastAsia" w:ascii="宋体" w:hAnsi="宋体" w:eastAsia="宋体" w:cs="宋体"/>
                <w:sz w:val="20"/>
                <w:szCs w:val="20"/>
              </w:rPr>
            </w:pPr>
          </w:p>
        </w:tc>
        <w:tc>
          <w:tcPr>
            <w:tcW w:w="611" w:type="dxa"/>
            <w:tcBorders>
              <w:top w:val="single" w:color="auto" w:sz="4" w:space="0"/>
              <w:left w:val="single" w:color="auto" w:sz="4" w:space="0"/>
              <w:bottom w:val="single" w:color="auto" w:sz="4" w:space="0"/>
              <w:right w:val="single" w:color="auto" w:sz="4" w:space="0"/>
            </w:tcBorders>
            <w:noWrap w:val="0"/>
            <w:vAlign w:val="top"/>
          </w:tcPr>
          <w:p w14:paraId="773C6BCE">
            <w:pPr>
              <w:jc w:val="center"/>
              <w:rPr>
                <w:rFonts w:hint="eastAsia" w:ascii="宋体" w:hAnsi="宋体" w:eastAsia="宋体" w:cs="宋体"/>
                <w:sz w:val="20"/>
                <w:szCs w:val="20"/>
              </w:rPr>
            </w:pPr>
          </w:p>
        </w:tc>
        <w:tc>
          <w:tcPr>
            <w:tcW w:w="481" w:type="dxa"/>
            <w:tcBorders>
              <w:top w:val="single" w:color="auto" w:sz="4" w:space="0"/>
              <w:left w:val="single" w:color="auto" w:sz="4" w:space="0"/>
              <w:bottom w:val="single" w:color="auto" w:sz="4" w:space="0"/>
              <w:right w:val="single" w:color="auto" w:sz="4" w:space="0"/>
            </w:tcBorders>
            <w:noWrap w:val="0"/>
            <w:vAlign w:val="center"/>
          </w:tcPr>
          <w:p w14:paraId="53450777">
            <w:pPr>
              <w:jc w:val="center"/>
              <w:rPr>
                <w:rFonts w:hint="eastAsia" w:ascii="宋体" w:hAnsi="宋体" w:eastAsia="宋体" w:cs="宋体"/>
                <w:b/>
                <w:sz w:val="20"/>
                <w:szCs w:val="20"/>
              </w:rPr>
            </w:pPr>
          </w:p>
        </w:tc>
      </w:tr>
      <w:tr w14:paraId="1A33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jc w:val="center"/>
        </w:trPr>
        <w:tc>
          <w:tcPr>
            <w:tcW w:w="528" w:type="dxa"/>
            <w:vMerge w:val="continue"/>
            <w:tcBorders>
              <w:left w:val="single" w:color="auto" w:sz="4" w:space="0"/>
              <w:right w:val="single" w:color="auto" w:sz="4" w:space="0"/>
            </w:tcBorders>
            <w:noWrap w:val="0"/>
            <w:vAlign w:val="center"/>
          </w:tcPr>
          <w:p w14:paraId="174A98AB">
            <w:pPr>
              <w:widowControl/>
              <w:jc w:val="left"/>
              <w:rPr>
                <w:rFonts w:hint="eastAsia" w:ascii="宋体" w:hAnsi="宋体" w:eastAsia="宋体" w:cs="宋体"/>
                <w:sz w:val="20"/>
                <w:szCs w:val="20"/>
              </w:rPr>
            </w:pPr>
          </w:p>
        </w:tc>
        <w:tc>
          <w:tcPr>
            <w:tcW w:w="528" w:type="dxa"/>
            <w:vMerge w:val="continue"/>
            <w:tcBorders>
              <w:top w:val="single" w:color="auto" w:sz="4" w:space="0"/>
              <w:left w:val="single" w:color="auto" w:sz="4" w:space="0"/>
              <w:bottom w:val="single" w:color="auto" w:sz="4" w:space="0"/>
              <w:right w:val="single" w:color="auto" w:sz="4" w:space="0"/>
            </w:tcBorders>
            <w:noWrap w:val="0"/>
            <w:vAlign w:val="center"/>
          </w:tcPr>
          <w:p w14:paraId="488300B9">
            <w:pPr>
              <w:widowControl/>
              <w:jc w:val="left"/>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434FBA2">
            <w:pPr>
              <w:rPr>
                <w:rFonts w:hint="eastAsia" w:ascii="宋体" w:hAnsi="宋体" w:eastAsia="宋体" w:cs="宋体"/>
                <w:sz w:val="20"/>
                <w:szCs w:val="20"/>
              </w:rPr>
            </w:pPr>
            <w:r>
              <w:rPr>
                <w:rFonts w:hint="eastAsia" w:ascii="宋体" w:hAnsi="宋体" w:eastAsia="宋体" w:cs="宋体"/>
                <w:sz w:val="20"/>
                <w:szCs w:val="20"/>
              </w:rPr>
              <w:t>控制柜（箱）卫生状况</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08497EB3">
            <w:pPr>
              <w:rPr>
                <w:rFonts w:hint="eastAsia" w:ascii="宋体" w:hAnsi="宋体" w:eastAsia="宋体" w:cs="宋体"/>
                <w:sz w:val="20"/>
                <w:szCs w:val="20"/>
              </w:rPr>
            </w:pPr>
            <w:r>
              <w:rPr>
                <w:rFonts w:hint="eastAsia" w:ascii="宋体" w:hAnsi="宋体" w:eastAsia="宋体" w:cs="宋体"/>
                <w:sz w:val="20"/>
                <w:szCs w:val="20"/>
              </w:rPr>
              <w:t>控制柜（箱）表面、内部无尘</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466692A3">
            <w:pPr>
              <w:rPr>
                <w:rFonts w:hint="eastAsia" w:ascii="宋体" w:hAnsi="宋体" w:eastAsia="宋体" w:cs="宋体"/>
                <w:sz w:val="20"/>
                <w:szCs w:val="20"/>
              </w:rPr>
            </w:pPr>
            <w:r>
              <w:rPr>
                <w:rFonts w:hint="eastAsia" w:ascii="宋体" w:hAnsi="宋体" w:eastAsia="宋体" w:cs="宋体"/>
                <w:sz w:val="20"/>
                <w:szCs w:val="20"/>
              </w:rPr>
              <w:t>不清洁每一处扣0.05分</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142F04BE">
            <w:pPr>
              <w:jc w:val="center"/>
              <w:rPr>
                <w:rFonts w:hint="eastAsia" w:ascii="宋体" w:hAnsi="宋体" w:eastAsia="宋体" w:cs="宋体"/>
                <w:sz w:val="20"/>
                <w:szCs w:val="20"/>
              </w:rPr>
            </w:pPr>
          </w:p>
        </w:tc>
        <w:tc>
          <w:tcPr>
            <w:tcW w:w="611" w:type="dxa"/>
            <w:tcBorders>
              <w:top w:val="single" w:color="auto" w:sz="4" w:space="0"/>
              <w:left w:val="single" w:color="auto" w:sz="4" w:space="0"/>
              <w:bottom w:val="single" w:color="auto" w:sz="4" w:space="0"/>
              <w:right w:val="single" w:color="auto" w:sz="4" w:space="0"/>
            </w:tcBorders>
            <w:noWrap w:val="0"/>
            <w:vAlign w:val="center"/>
          </w:tcPr>
          <w:p w14:paraId="73B14A56">
            <w:pPr>
              <w:jc w:val="center"/>
              <w:rPr>
                <w:rFonts w:hint="eastAsia" w:ascii="宋体" w:hAnsi="宋体" w:eastAsia="宋体" w:cs="宋体"/>
                <w:b/>
                <w:sz w:val="20"/>
                <w:szCs w:val="20"/>
              </w:rPr>
            </w:pPr>
            <w:r>
              <w:rPr>
                <w:rFonts w:hint="eastAsia" w:ascii="宋体" w:hAnsi="宋体" w:eastAsia="宋体" w:cs="宋体"/>
                <w:b/>
                <w:sz w:val="20"/>
                <w:szCs w:val="20"/>
              </w:rPr>
              <w:t>ⅴ</w:t>
            </w:r>
          </w:p>
        </w:tc>
        <w:tc>
          <w:tcPr>
            <w:tcW w:w="481" w:type="dxa"/>
            <w:tcBorders>
              <w:top w:val="single" w:color="auto" w:sz="4" w:space="0"/>
              <w:left w:val="single" w:color="auto" w:sz="4" w:space="0"/>
              <w:bottom w:val="single" w:color="auto" w:sz="4" w:space="0"/>
              <w:right w:val="single" w:color="auto" w:sz="4" w:space="0"/>
            </w:tcBorders>
            <w:noWrap w:val="0"/>
            <w:vAlign w:val="center"/>
          </w:tcPr>
          <w:p w14:paraId="2C22709B">
            <w:pPr>
              <w:jc w:val="center"/>
              <w:rPr>
                <w:rFonts w:hint="eastAsia" w:ascii="宋体" w:hAnsi="宋体" w:eastAsia="宋体" w:cs="宋体"/>
                <w:sz w:val="20"/>
                <w:szCs w:val="20"/>
              </w:rPr>
            </w:pPr>
          </w:p>
        </w:tc>
      </w:tr>
      <w:tr w14:paraId="700F7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6" w:hRule="atLeast"/>
          <w:jc w:val="center"/>
        </w:trPr>
        <w:tc>
          <w:tcPr>
            <w:tcW w:w="528" w:type="dxa"/>
            <w:vMerge w:val="continue"/>
            <w:tcBorders>
              <w:left w:val="single" w:color="auto" w:sz="4" w:space="0"/>
              <w:right w:val="single" w:color="auto" w:sz="4" w:space="0"/>
            </w:tcBorders>
            <w:noWrap w:val="0"/>
            <w:vAlign w:val="center"/>
          </w:tcPr>
          <w:p w14:paraId="031D9780">
            <w:pPr>
              <w:widowControl/>
              <w:jc w:val="left"/>
              <w:rPr>
                <w:rFonts w:hint="eastAsia" w:ascii="宋体" w:hAnsi="宋体" w:eastAsia="宋体" w:cs="宋体"/>
                <w:sz w:val="20"/>
                <w:szCs w:val="20"/>
              </w:rPr>
            </w:pPr>
          </w:p>
        </w:tc>
        <w:tc>
          <w:tcPr>
            <w:tcW w:w="528"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3F2E26E0">
            <w:pPr>
              <w:ind w:left="113" w:right="113"/>
              <w:jc w:val="center"/>
              <w:rPr>
                <w:rFonts w:hint="eastAsia" w:ascii="宋体" w:hAnsi="宋体" w:eastAsia="宋体" w:cs="宋体"/>
                <w:sz w:val="20"/>
                <w:szCs w:val="20"/>
              </w:rPr>
            </w:pPr>
            <w:r>
              <w:rPr>
                <w:rFonts w:hint="eastAsia" w:ascii="宋体" w:hAnsi="宋体" w:eastAsia="宋体" w:cs="宋体"/>
                <w:sz w:val="20"/>
                <w:szCs w:val="20"/>
              </w:rPr>
              <w:t>自动喷淋泵</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D82F698">
            <w:pPr>
              <w:rPr>
                <w:rFonts w:hint="eastAsia" w:ascii="宋体" w:hAnsi="宋体" w:eastAsia="宋体" w:cs="宋体"/>
                <w:sz w:val="20"/>
                <w:szCs w:val="20"/>
              </w:rPr>
            </w:pPr>
            <w:r>
              <w:rPr>
                <w:rFonts w:hint="eastAsia" w:ascii="宋体" w:hAnsi="宋体" w:eastAsia="宋体" w:cs="宋体"/>
                <w:sz w:val="20"/>
                <w:szCs w:val="20"/>
              </w:rPr>
              <w:t>联轴器状况</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09529F32">
            <w:pPr>
              <w:rPr>
                <w:rFonts w:hint="eastAsia" w:ascii="宋体" w:hAnsi="宋体" w:eastAsia="宋体" w:cs="宋体"/>
                <w:sz w:val="20"/>
                <w:szCs w:val="20"/>
              </w:rPr>
            </w:pPr>
            <w:r>
              <w:rPr>
                <w:rFonts w:hint="eastAsia" w:ascii="宋体" w:hAnsi="宋体" w:eastAsia="宋体" w:cs="宋体"/>
                <w:sz w:val="20"/>
                <w:szCs w:val="20"/>
              </w:rPr>
              <w:t>要求同轴，手动盘动联轴器应无卡滞</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680F854E">
            <w:pPr>
              <w:rPr>
                <w:rFonts w:hint="eastAsia" w:ascii="宋体" w:hAnsi="宋体" w:eastAsia="宋体" w:cs="宋体"/>
                <w:sz w:val="20"/>
                <w:szCs w:val="20"/>
              </w:rPr>
            </w:pPr>
            <w:r>
              <w:rPr>
                <w:rFonts w:hint="eastAsia" w:ascii="宋体" w:hAnsi="宋体" w:eastAsia="宋体" w:cs="宋体"/>
                <w:sz w:val="20"/>
                <w:szCs w:val="20"/>
              </w:rPr>
              <w:t>不合格每一处扣1分</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24A59C04">
            <w:pPr>
              <w:rPr>
                <w:rFonts w:hint="eastAsia" w:ascii="宋体" w:hAnsi="宋体" w:eastAsia="宋体" w:cs="宋体"/>
                <w:sz w:val="20"/>
                <w:szCs w:val="20"/>
              </w:rPr>
            </w:pPr>
          </w:p>
        </w:tc>
        <w:tc>
          <w:tcPr>
            <w:tcW w:w="611" w:type="dxa"/>
            <w:tcBorders>
              <w:top w:val="single" w:color="auto" w:sz="4" w:space="0"/>
              <w:left w:val="single" w:color="auto" w:sz="4" w:space="0"/>
              <w:bottom w:val="single" w:color="auto" w:sz="4" w:space="0"/>
              <w:right w:val="single" w:color="auto" w:sz="4" w:space="0"/>
            </w:tcBorders>
            <w:noWrap w:val="0"/>
            <w:vAlign w:val="center"/>
          </w:tcPr>
          <w:p w14:paraId="746731A4">
            <w:pPr>
              <w:jc w:val="center"/>
              <w:rPr>
                <w:rFonts w:hint="eastAsia" w:ascii="宋体" w:hAnsi="宋体" w:eastAsia="宋体" w:cs="宋体"/>
                <w:b/>
                <w:sz w:val="20"/>
                <w:szCs w:val="20"/>
              </w:rPr>
            </w:pPr>
            <w:r>
              <w:rPr>
                <w:rFonts w:hint="eastAsia" w:ascii="宋体" w:hAnsi="宋体" w:eastAsia="宋体" w:cs="宋体"/>
                <w:b/>
                <w:sz w:val="20"/>
                <w:szCs w:val="20"/>
              </w:rPr>
              <w:t>ⅴ</w:t>
            </w:r>
          </w:p>
        </w:tc>
        <w:tc>
          <w:tcPr>
            <w:tcW w:w="481" w:type="dxa"/>
            <w:tcBorders>
              <w:top w:val="single" w:color="auto" w:sz="4" w:space="0"/>
              <w:left w:val="single" w:color="auto" w:sz="4" w:space="0"/>
              <w:bottom w:val="single" w:color="auto" w:sz="4" w:space="0"/>
              <w:right w:val="single" w:color="auto" w:sz="4" w:space="0"/>
            </w:tcBorders>
            <w:noWrap w:val="0"/>
            <w:vAlign w:val="center"/>
          </w:tcPr>
          <w:p w14:paraId="3630F2F6">
            <w:pPr>
              <w:rPr>
                <w:rFonts w:hint="eastAsia" w:ascii="宋体" w:hAnsi="宋体" w:eastAsia="宋体" w:cs="宋体"/>
                <w:sz w:val="20"/>
                <w:szCs w:val="20"/>
              </w:rPr>
            </w:pPr>
          </w:p>
        </w:tc>
      </w:tr>
      <w:tr w14:paraId="619D6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3" w:hRule="atLeast"/>
          <w:jc w:val="center"/>
        </w:trPr>
        <w:tc>
          <w:tcPr>
            <w:tcW w:w="528" w:type="dxa"/>
            <w:vMerge w:val="continue"/>
            <w:tcBorders>
              <w:left w:val="single" w:color="auto" w:sz="4" w:space="0"/>
              <w:right w:val="single" w:color="auto" w:sz="4" w:space="0"/>
            </w:tcBorders>
            <w:noWrap w:val="0"/>
            <w:vAlign w:val="center"/>
          </w:tcPr>
          <w:p w14:paraId="2A8D3328">
            <w:pPr>
              <w:widowControl/>
              <w:jc w:val="left"/>
              <w:rPr>
                <w:rFonts w:hint="eastAsia" w:ascii="宋体" w:hAnsi="宋体" w:eastAsia="宋体" w:cs="宋体"/>
                <w:sz w:val="20"/>
                <w:szCs w:val="20"/>
              </w:rPr>
            </w:pPr>
          </w:p>
        </w:tc>
        <w:tc>
          <w:tcPr>
            <w:tcW w:w="528" w:type="dxa"/>
            <w:vMerge w:val="continue"/>
            <w:tcBorders>
              <w:top w:val="single" w:color="auto" w:sz="4" w:space="0"/>
              <w:left w:val="single" w:color="auto" w:sz="4" w:space="0"/>
              <w:bottom w:val="single" w:color="auto" w:sz="4" w:space="0"/>
              <w:right w:val="single" w:color="auto" w:sz="4" w:space="0"/>
            </w:tcBorders>
            <w:noWrap w:val="0"/>
            <w:vAlign w:val="center"/>
          </w:tcPr>
          <w:p w14:paraId="7F0A1B28">
            <w:pPr>
              <w:widowControl/>
              <w:jc w:val="left"/>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309A95D">
            <w:pPr>
              <w:rPr>
                <w:rFonts w:hint="eastAsia" w:ascii="宋体" w:hAnsi="宋体" w:eastAsia="宋体" w:cs="宋体"/>
                <w:sz w:val="20"/>
                <w:szCs w:val="20"/>
              </w:rPr>
            </w:pPr>
            <w:r>
              <w:rPr>
                <w:rFonts w:hint="eastAsia" w:ascii="宋体" w:hAnsi="宋体" w:eastAsia="宋体" w:cs="宋体"/>
                <w:sz w:val="20"/>
                <w:szCs w:val="20"/>
              </w:rPr>
              <w:t>自动喷淋泵、电机工况</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59295118">
            <w:pPr>
              <w:rPr>
                <w:rFonts w:hint="eastAsia" w:ascii="宋体" w:hAnsi="宋体" w:eastAsia="宋体" w:cs="宋体"/>
                <w:sz w:val="20"/>
                <w:szCs w:val="20"/>
              </w:rPr>
            </w:pPr>
            <w:r>
              <w:rPr>
                <w:rFonts w:hint="eastAsia" w:ascii="宋体" w:hAnsi="宋体" w:eastAsia="宋体" w:cs="宋体"/>
                <w:sz w:val="20"/>
                <w:szCs w:val="20"/>
              </w:rPr>
              <w:t>自动喷淋泵、电机工作时无异常噪声。转速、动不平衡量、流量、扬程应在合格范围内。泵体两端封盖处不渗水，否则添加盘根处理</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57E32D90">
            <w:pPr>
              <w:rPr>
                <w:rFonts w:hint="eastAsia" w:ascii="宋体" w:hAnsi="宋体" w:eastAsia="宋体" w:cs="宋体"/>
                <w:sz w:val="20"/>
                <w:szCs w:val="20"/>
              </w:rPr>
            </w:pPr>
            <w:r>
              <w:rPr>
                <w:rFonts w:hint="eastAsia" w:ascii="宋体" w:hAnsi="宋体" w:eastAsia="宋体" w:cs="宋体"/>
                <w:sz w:val="20"/>
                <w:szCs w:val="20"/>
              </w:rPr>
              <w:t>不合格每一处扣1分</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1E0AA44C">
            <w:pPr>
              <w:rPr>
                <w:rFonts w:hint="eastAsia" w:ascii="宋体" w:hAnsi="宋体" w:eastAsia="宋体" w:cs="宋体"/>
                <w:sz w:val="20"/>
                <w:szCs w:val="20"/>
              </w:rPr>
            </w:pPr>
          </w:p>
        </w:tc>
        <w:tc>
          <w:tcPr>
            <w:tcW w:w="611" w:type="dxa"/>
            <w:tcBorders>
              <w:top w:val="single" w:color="auto" w:sz="4" w:space="0"/>
              <w:left w:val="single" w:color="auto" w:sz="4" w:space="0"/>
              <w:bottom w:val="single" w:color="auto" w:sz="4" w:space="0"/>
              <w:right w:val="single" w:color="auto" w:sz="4" w:space="0"/>
            </w:tcBorders>
            <w:noWrap w:val="0"/>
            <w:vAlign w:val="center"/>
          </w:tcPr>
          <w:p w14:paraId="135703BB">
            <w:pPr>
              <w:jc w:val="center"/>
              <w:rPr>
                <w:rFonts w:hint="eastAsia" w:ascii="宋体" w:hAnsi="宋体" w:eastAsia="宋体" w:cs="宋体"/>
                <w:b/>
                <w:sz w:val="20"/>
                <w:szCs w:val="20"/>
              </w:rPr>
            </w:pPr>
            <w:r>
              <w:rPr>
                <w:rFonts w:hint="eastAsia" w:ascii="宋体" w:hAnsi="宋体" w:eastAsia="宋体" w:cs="宋体"/>
                <w:b/>
                <w:sz w:val="20"/>
                <w:szCs w:val="20"/>
              </w:rPr>
              <w:t>ⅴ</w:t>
            </w:r>
          </w:p>
        </w:tc>
        <w:tc>
          <w:tcPr>
            <w:tcW w:w="481" w:type="dxa"/>
            <w:tcBorders>
              <w:top w:val="single" w:color="auto" w:sz="4" w:space="0"/>
              <w:left w:val="single" w:color="auto" w:sz="4" w:space="0"/>
              <w:bottom w:val="single" w:color="auto" w:sz="4" w:space="0"/>
              <w:right w:val="single" w:color="auto" w:sz="4" w:space="0"/>
            </w:tcBorders>
            <w:noWrap w:val="0"/>
            <w:vAlign w:val="center"/>
          </w:tcPr>
          <w:p w14:paraId="6200F66C">
            <w:pPr>
              <w:rPr>
                <w:rFonts w:hint="eastAsia" w:ascii="宋体" w:hAnsi="宋体" w:eastAsia="宋体" w:cs="宋体"/>
                <w:sz w:val="20"/>
                <w:szCs w:val="20"/>
              </w:rPr>
            </w:pPr>
          </w:p>
        </w:tc>
      </w:tr>
      <w:tr w14:paraId="6559E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6" w:hRule="atLeast"/>
          <w:jc w:val="center"/>
        </w:trPr>
        <w:tc>
          <w:tcPr>
            <w:tcW w:w="528" w:type="dxa"/>
            <w:vMerge w:val="continue"/>
            <w:tcBorders>
              <w:left w:val="single" w:color="auto" w:sz="4" w:space="0"/>
              <w:right w:val="single" w:color="auto" w:sz="4" w:space="0"/>
            </w:tcBorders>
            <w:noWrap w:val="0"/>
            <w:vAlign w:val="center"/>
          </w:tcPr>
          <w:p w14:paraId="7B67C760">
            <w:pPr>
              <w:widowControl/>
              <w:jc w:val="left"/>
              <w:rPr>
                <w:rFonts w:hint="eastAsia" w:ascii="宋体" w:hAnsi="宋体" w:eastAsia="宋体" w:cs="宋体"/>
                <w:sz w:val="20"/>
                <w:szCs w:val="20"/>
              </w:rPr>
            </w:pPr>
          </w:p>
        </w:tc>
        <w:tc>
          <w:tcPr>
            <w:tcW w:w="528" w:type="dxa"/>
            <w:vMerge w:val="continue"/>
            <w:tcBorders>
              <w:top w:val="single" w:color="auto" w:sz="4" w:space="0"/>
              <w:left w:val="single" w:color="auto" w:sz="4" w:space="0"/>
              <w:bottom w:val="single" w:color="auto" w:sz="4" w:space="0"/>
              <w:right w:val="single" w:color="auto" w:sz="4" w:space="0"/>
            </w:tcBorders>
            <w:noWrap w:val="0"/>
            <w:vAlign w:val="center"/>
          </w:tcPr>
          <w:p w14:paraId="049A1624">
            <w:pPr>
              <w:widowControl/>
              <w:jc w:val="left"/>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5FD3754">
            <w:pPr>
              <w:rPr>
                <w:rFonts w:hint="eastAsia" w:ascii="宋体" w:hAnsi="宋体" w:eastAsia="宋体" w:cs="宋体"/>
                <w:sz w:val="20"/>
                <w:szCs w:val="20"/>
              </w:rPr>
            </w:pPr>
            <w:r>
              <w:rPr>
                <w:rFonts w:hint="eastAsia" w:ascii="宋体" w:hAnsi="宋体" w:eastAsia="宋体" w:cs="宋体"/>
                <w:sz w:val="20"/>
                <w:szCs w:val="20"/>
              </w:rPr>
              <w:t>电动机绝缘电阻测试</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4FE40A27">
            <w:pPr>
              <w:rPr>
                <w:rFonts w:hint="eastAsia" w:ascii="宋体" w:hAnsi="宋体" w:eastAsia="宋体" w:cs="宋体"/>
                <w:sz w:val="20"/>
                <w:szCs w:val="20"/>
              </w:rPr>
            </w:pPr>
            <w:r>
              <w:rPr>
                <w:rFonts w:hint="eastAsia" w:ascii="宋体" w:hAnsi="宋体" w:eastAsia="宋体" w:cs="宋体"/>
                <w:sz w:val="20"/>
                <w:szCs w:val="20"/>
              </w:rPr>
              <w:t>用500伏兆欧表测试，绝缘电阻值要大于0.5兆欧</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28876836">
            <w:pPr>
              <w:rPr>
                <w:rFonts w:hint="eastAsia" w:ascii="宋体" w:hAnsi="宋体" w:eastAsia="宋体" w:cs="宋体"/>
                <w:sz w:val="20"/>
                <w:szCs w:val="20"/>
              </w:rPr>
            </w:pPr>
            <w:r>
              <w:rPr>
                <w:rFonts w:hint="eastAsia" w:ascii="宋体" w:hAnsi="宋体" w:eastAsia="宋体" w:cs="宋体"/>
                <w:sz w:val="20"/>
                <w:szCs w:val="20"/>
              </w:rPr>
              <w:t>测试不合格扣2分</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3FBD5A88">
            <w:pPr>
              <w:rPr>
                <w:rFonts w:hint="eastAsia" w:ascii="宋体" w:hAnsi="宋体" w:eastAsia="宋体" w:cs="宋体"/>
                <w:sz w:val="20"/>
                <w:szCs w:val="20"/>
              </w:rPr>
            </w:pPr>
          </w:p>
        </w:tc>
        <w:tc>
          <w:tcPr>
            <w:tcW w:w="611" w:type="dxa"/>
            <w:tcBorders>
              <w:top w:val="single" w:color="auto" w:sz="4" w:space="0"/>
              <w:left w:val="single" w:color="auto" w:sz="4" w:space="0"/>
              <w:bottom w:val="single" w:color="auto" w:sz="4" w:space="0"/>
              <w:right w:val="single" w:color="auto" w:sz="4" w:space="0"/>
            </w:tcBorders>
            <w:noWrap w:val="0"/>
            <w:vAlign w:val="center"/>
          </w:tcPr>
          <w:p w14:paraId="466A7AD0">
            <w:pPr>
              <w:rPr>
                <w:rFonts w:hint="eastAsia" w:ascii="宋体" w:hAnsi="宋体" w:eastAsia="宋体" w:cs="宋体"/>
                <w:sz w:val="20"/>
                <w:szCs w:val="20"/>
              </w:rPr>
            </w:pPr>
          </w:p>
        </w:tc>
        <w:tc>
          <w:tcPr>
            <w:tcW w:w="481" w:type="dxa"/>
            <w:tcBorders>
              <w:top w:val="single" w:color="auto" w:sz="4" w:space="0"/>
              <w:left w:val="single" w:color="auto" w:sz="4" w:space="0"/>
              <w:bottom w:val="single" w:color="auto" w:sz="4" w:space="0"/>
              <w:right w:val="single" w:color="auto" w:sz="4" w:space="0"/>
            </w:tcBorders>
            <w:noWrap w:val="0"/>
            <w:vAlign w:val="center"/>
          </w:tcPr>
          <w:p w14:paraId="405972F3">
            <w:pPr>
              <w:rPr>
                <w:rFonts w:hint="eastAsia" w:ascii="宋体" w:hAnsi="宋体" w:eastAsia="宋体" w:cs="宋体"/>
                <w:sz w:val="20"/>
                <w:szCs w:val="20"/>
              </w:rPr>
            </w:pPr>
            <w:r>
              <w:rPr>
                <w:rFonts w:hint="eastAsia" w:ascii="宋体" w:hAnsi="宋体" w:eastAsia="宋体" w:cs="宋体"/>
                <w:b/>
                <w:sz w:val="20"/>
                <w:szCs w:val="20"/>
              </w:rPr>
              <w:t>ⅴ</w:t>
            </w:r>
          </w:p>
        </w:tc>
      </w:tr>
      <w:tr w14:paraId="44C9B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0" w:hRule="atLeast"/>
          <w:jc w:val="center"/>
        </w:trPr>
        <w:tc>
          <w:tcPr>
            <w:tcW w:w="528" w:type="dxa"/>
            <w:vMerge w:val="continue"/>
            <w:tcBorders>
              <w:left w:val="single" w:color="auto" w:sz="4" w:space="0"/>
              <w:bottom w:val="single" w:color="auto" w:sz="4" w:space="0"/>
              <w:right w:val="single" w:color="auto" w:sz="4" w:space="0"/>
            </w:tcBorders>
            <w:noWrap w:val="0"/>
            <w:vAlign w:val="center"/>
          </w:tcPr>
          <w:p w14:paraId="55DED8B5">
            <w:pPr>
              <w:widowControl/>
              <w:jc w:val="left"/>
              <w:rPr>
                <w:rFonts w:hint="eastAsia" w:ascii="宋体" w:hAnsi="宋体" w:eastAsia="宋体" w:cs="宋体"/>
                <w:sz w:val="20"/>
                <w:szCs w:val="20"/>
              </w:rPr>
            </w:pPr>
          </w:p>
        </w:tc>
        <w:tc>
          <w:tcPr>
            <w:tcW w:w="528" w:type="dxa"/>
            <w:tcBorders>
              <w:top w:val="single" w:color="auto" w:sz="4" w:space="0"/>
              <w:left w:val="single" w:color="auto" w:sz="4" w:space="0"/>
              <w:bottom w:val="single" w:color="auto" w:sz="4" w:space="0"/>
              <w:right w:val="single" w:color="auto" w:sz="4" w:space="0"/>
            </w:tcBorders>
            <w:noWrap w:val="0"/>
            <w:textDirection w:val="tbRlV"/>
            <w:vAlign w:val="center"/>
          </w:tcPr>
          <w:p w14:paraId="37CA79DF">
            <w:pPr>
              <w:ind w:left="113" w:right="113"/>
              <w:jc w:val="center"/>
              <w:rPr>
                <w:rFonts w:hint="eastAsia" w:ascii="宋体" w:hAnsi="宋体" w:eastAsia="宋体" w:cs="宋体"/>
                <w:sz w:val="20"/>
                <w:szCs w:val="20"/>
              </w:rPr>
            </w:pPr>
            <w:r>
              <w:rPr>
                <w:rFonts w:hint="eastAsia" w:ascii="宋体" w:hAnsi="宋体" w:eastAsia="宋体" w:cs="宋体"/>
                <w:sz w:val="20"/>
                <w:szCs w:val="20"/>
              </w:rPr>
              <w:t>管 路</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5FE05D6">
            <w:pPr>
              <w:rPr>
                <w:rFonts w:hint="eastAsia" w:ascii="宋体" w:hAnsi="宋体" w:eastAsia="宋体" w:cs="宋体"/>
                <w:sz w:val="20"/>
                <w:szCs w:val="20"/>
              </w:rPr>
            </w:pPr>
            <w:r>
              <w:rPr>
                <w:rFonts w:hint="eastAsia" w:ascii="宋体" w:hAnsi="宋体" w:eastAsia="宋体" w:cs="宋体"/>
                <w:sz w:val="20"/>
                <w:szCs w:val="20"/>
              </w:rPr>
              <w:t>各类自动喷淋管道保养</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11333B69">
            <w:pPr>
              <w:rPr>
                <w:rFonts w:hint="eastAsia" w:ascii="宋体" w:hAnsi="宋体" w:eastAsia="宋体" w:cs="宋体"/>
                <w:sz w:val="20"/>
                <w:szCs w:val="20"/>
              </w:rPr>
            </w:pPr>
            <w:r>
              <w:rPr>
                <w:rFonts w:hint="eastAsia" w:ascii="宋体" w:hAnsi="宋体" w:eastAsia="宋体" w:cs="宋体"/>
                <w:sz w:val="20"/>
                <w:szCs w:val="20"/>
              </w:rPr>
              <w:t>各类喷淋管道要求无渗漏或锈蚀，视情况定期对管道除锈，刷酚醛类防锈漆后刷大红油基漆养护</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5B790C04">
            <w:pPr>
              <w:rPr>
                <w:rFonts w:hint="eastAsia" w:ascii="宋体" w:hAnsi="宋体" w:eastAsia="宋体" w:cs="宋体"/>
                <w:sz w:val="20"/>
                <w:szCs w:val="20"/>
              </w:rPr>
            </w:pPr>
            <w:r>
              <w:rPr>
                <w:rFonts w:hint="eastAsia" w:ascii="宋体" w:hAnsi="宋体" w:eastAsia="宋体" w:cs="宋体"/>
                <w:sz w:val="20"/>
                <w:szCs w:val="20"/>
              </w:rPr>
              <w:t>不合格每一处扣0.05分</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57E6E068">
            <w:pPr>
              <w:rPr>
                <w:rFonts w:hint="eastAsia" w:ascii="宋体" w:hAnsi="宋体" w:eastAsia="宋体" w:cs="宋体"/>
                <w:sz w:val="20"/>
                <w:szCs w:val="20"/>
              </w:rPr>
            </w:pPr>
          </w:p>
        </w:tc>
        <w:tc>
          <w:tcPr>
            <w:tcW w:w="611" w:type="dxa"/>
            <w:tcBorders>
              <w:top w:val="single" w:color="auto" w:sz="4" w:space="0"/>
              <w:left w:val="single" w:color="auto" w:sz="4" w:space="0"/>
              <w:bottom w:val="single" w:color="auto" w:sz="4" w:space="0"/>
              <w:right w:val="single" w:color="auto" w:sz="4" w:space="0"/>
            </w:tcBorders>
            <w:noWrap w:val="0"/>
            <w:vAlign w:val="center"/>
          </w:tcPr>
          <w:p w14:paraId="6023E4C0">
            <w:pPr>
              <w:rPr>
                <w:rFonts w:hint="eastAsia" w:ascii="宋体" w:hAnsi="宋体" w:eastAsia="宋体" w:cs="宋体"/>
                <w:sz w:val="20"/>
                <w:szCs w:val="20"/>
              </w:rPr>
            </w:pPr>
          </w:p>
        </w:tc>
        <w:tc>
          <w:tcPr>
            <w:tcW w:w="481" w:type="dxa"/>
            <w:tcBorders>
              <w:top w:val="single" w:color="auto" w:sz="4" w:space="0"/>
              <w:left w:val="single" w:color="auto" w:sz="4" w:space="0"/>
              <w:bottom w:val="single" w:color="auto" w:sz="4" w:space="0"/>
              <w:right w:val="single" w:color="auto" w:sz="4" w:space="0"/>
            </w:tcBorders>
            <w:noWrap w:val="0"/>
            <w:vAlign w:val="center"/>
          </w:tcPr>
          <w:p w14:paraId="3C7DB3AE">
            <w:pPr>
              <w:rPr>
                <w:rFonts w:hint="eastAsia" w:ascii="宋体" w:hAnsi="宋体" w:eastAsia="宋体" w:cs="宋体"/>
                <w:b/>
                <w:sz w:val="20"/>
                <w:szCs w:val="20"/>
              </w:rPr>
            </w:pPr>
            <w:r>
              <w:rPr>
                <w:rFonts w:hint="eastAsia" w:ascii="宋体" w:hAnsi="宋体" w:eastAsia="宋体" w:cs="宋体"/>
                <w:b/>
                <w:sz w:val="20"/>
                <w:szCs w:val="20"/>
              </w:rPr>
              <w:t>ⅴ</w:t>
            </w:r>
          </w:p>
        </w:tc>
      </w:tr>
      <w:tr w14:paraId="1D95A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0" w:type="auto"/>
            <w:gridSpan w:val="2"/>
            <w:vMerge w:val="restart"/>
            <w:tcBorders>
              <w:top w:val="single" w:color="auto" w:sz="4" w:space="0"/>
              <w:left w:val="single" w:color="auto" w:sz="4" w:space="0"/>
              <w:bottom w:val="single" w:color="auto" w:sz="4" w:space="0"/>
              <w:right w:val="single" w:color="auto" w:sz="4" w:space="0"/>
              <w:tl2br w:val="single" w:color="auto" w:sz="4" w:space="0"/>
            </w:tcBorders>
            <w:noWrap w:val="0"/>
            <w:vAlign w:val="top"/>
          </w:tcPr>
          <w:p w14:paraId="0F6E3167">
            <w:pPr>
              <w:jc w:val="center"/>
              <w:rPr>
                <w:rFonts w:hint="eastAsia" w:ascii="宋体" w:hAnsi="宋体" w:eastAsia="宋体" w:cs="宋体"/>
                <w:sz w:val="20"/>
                <w:szCs w:val="20"/>
              </w:rPr>
            </w:pPr>
            <w:r>
              <w:rPr>
                <w:rFonts w:hint="eastAsia" w:ascii="宋体" w:hAnsi="宋体" w:eastAsia="宋体" w:cs="宋体"/>
                <w:sz w:val="20"/>
                <w:szCs w:val="20"/>
              </w:rPr>
              <w:t xml:space="preserve">       分项要求</w:t>
            </w:r>
          </w:p>
          <w:p w14:paraId="43AAE698">
            <w:pPr>
              <w:rPr>
                <w:rFonts w:hint="eastAsia" w:ascii="宋体" w:hAnsi="宋体" w:eastAsia="宋体" w:cs="宋体"/>
                <w:sz w:val="20"/>
                <w:szCs w:val="20"/>
              </w:rPr>
            </w:pPr>
            <w:r>
              <w:rPr>
                <w:rFonts w:hint="eastAsia" w:ascii="宋体" w:hAnsi="宋体" w:eastAsia="宋体" w:cs="宋体"/>
                <w:sz w:val="20"/>
                <w:szCs w:val="20"/>
              </w:rPr>
              <w:t>系统分类</w:t>
            </w:r>
          </w:p>
        </w:tc>
        <w:tc>
          <w:tcPr>
            <w:tcW w:w="0" w:type="auto"/>
            <w:vMerge w:val="restart"/>
            <w:tcBorders>
              <w:top w:val="single" w:color="auto" w:sz="4" w:space="0"/>
              <w:left w:val="single" w:color="auto" w:sz="4" w:space="0"/>
              <w:bottom w:val="single" w:color="auto" w:sz="4" w:space="0"/>
              <w:right w:val="single" w:color="auto" w:sz="4" w:space="0"/>
            </w:tcBorders>
            <w:noWrap w:val="0"/>
            <w:vAlign w:val="center"/>
          </w:tcPr>
          <w:p w14:paraId="6EA70538">
            <w:pPr>
              <w:jc w:val="center"/>
              <w:rPr>
                <w:rFonts w:hint="eastAsia" w:ascii="宋体" w:hAnsi="宋体" w:eastAsia="宋体" w:cs="宋体"/>
                <w:sz w:val="20"/>
                <w:szCs w:val="20"/>
              </w:rPr>
            </w:pPr>
            <w:r>
              <w:rPr>
                <w:rFonts w:hint="eastAsia" w:ascii="宋体" w:hAnsi="宋体" w:eastAsia="宋体" w:cs="宋体"/>
                <w:sz w:val="20"/>
                <w:szCs w:val="20"/>
              </w:rPr>
              <w:t>维护保养项目</w:t>
            </w:r>
          </w:p>
        </w:tc>
        <w:tc>
          <w:tcPr>
            <w:tcW w:w="3870" w:type="dxa"/>
            <w:vMerge w:val="restart"/>
            <w:tcBorders>
              <w:top w:val="single" w:color="auto" w:sz="4" w:space="0"/>
              <w:left w:val="single" w:color="auto" w:sz="4" w:space="0"/>
              <w:bottom w:val="single" w:color="auto" w:sz="4" w:space="0"/>
              <w:right w:val="single" w:color="auto" w:sz="4" w:space="0"/>
            </w:tcBorders>
            <w:noWrap w:val="0"/>
            <w:vAlign w:val="center"/>
          </w:tcPr>
          <w:p w14:paraId="793EBC94">
            <w:pPr>
              <w:jc w:val="center"/>
              <w:rPr>
                <w:rFonts w:hint="eastAsia" w:ascii="宋体" w:hAnsi="宋体" w:eastAsia="宋体" w:cs="宋体"/>
                <w:sz w:val="20"/>
                <w:szCs w:val="20"/>
              </w:rPr>
            </w:pPr>
            <w:r>
              <w:rPr>
                <w:rFonts w:hint="eastAsia" w:ascii="宋体" w:hAnsi="宋体" w:eastAsia="宋体" w:cs="宋体"/>
                <w:sz w:val="20"/>
                <w:szCs w:val="20"/>
              </w:rPr>
              <w:t>合格标准</w:t>
            </w:r>
          </w:p>
        </w:tc>
        <w:tc>
          <w:tcPr>
            <w:tcW w:w="1135" w:type="dxa"/>
            <w:vMerge w:val="restart"/>
            <w:tcBorders>
              <w:top w:val="single" w:color="auto" w:sz="4" w:space="0"/>
              <w:left w:val="single" w:color="auto" w:sz="4" w:space="0"/>
              <w:bottom w:val="single" w:color="auto" w:sz="4" w:space="0"/>
              <w:right w:val="single" w:color="auto" w:sz="4" w:space="0"/>
            </w:tcBorders>
            <w:noWrap w:val="0"/>
            <w:vAlign w:val="center"/>
          </w:tcPr>
          <w:p w14:paraId="32A6112C">
            <w:pPr>
              <w:jc w:val="center"/>
              <w:rPr>
                <w:rFonts w:hint="eastAsia" w:ascii="宋体" w:hAnsi="宋体" w:eastAsia="宋体" w:cs="宋体"/>
                <w:sz w:val="20"/>
                <w:szCs w:val="20"/>
              </w:rPr>
            </w:pPr>
            <w:r>
              <w:rPr>
                <w:rFonts w:hint="eastAsia" w:ascii="宋体" w:hAnsi="宋体" w:eastAsia="宋体" w:cs="宋体"/>
                <w:sz w:val="20"/>
                <w:szCs w:val="20"/>
              </w:rPr>
              <w:t>扣分标准（参考）</w:t>
            </w:r>
          </w:p>
        </w:tc>
        <w:tc>
          <w:tcPr>
            <w:tcW w:w="1645" w:type="dxa"/>
            <w:gridSpan w:val="3"/>
            <w:tcBorders>
              <w:top w:val="single" w:color="auto" w:sz="4" w:space="0"/>
              <w:left w:val="single" w:color="auto" w:sz="4" w:space="0"/>
              <w:bottom w:val="single" w:color="auto" w:sz="4" w:space="0"/>
              <w:right w:val="single" w:color="auto" w:sz="4" w:space="0"/>
            </w:tcBorders>
            <w:noWrap w:val="0"/>
            <w:vAlign w:val="center"/>
          </w:tcPr>
          <w:p w14:paraId="3F0DAE0C">
            <w:pPr>
              <w:jc w:val="center"/>
              <w:rPr>
                <w:rFonts w:hint="eastAsia" w:ascii="宋体" w:hAnsi="宋体" w:eastAsia="宋体" w:cs="宋体"/>
                <w:sz w:val="20"/>
                <w:szCs w:val="20"/>
              </w:rPr>
            </w:pPr>
            <w:r>
              <w:rPr>
                <w:rFonts w:hint="eastAsia" w:ascii="宋体" w:hAnsi="宋体" w:eastAsia="宋体" w:cs="宋体"/>
                <w:sz w:val="20"/>
                <w:szCs w:val="20"/>
              </w:rPr>
              <w:t>工 作 频 次</w:t>
            </w:r>
          </w:p>
        </w:tc>
      </w:tr>
      <w:tr w14:paraId="600B9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0" w:type="auto"/>
            <w:gridSpan w:val="2"/>
            <w:vMerge w:val="continue"/>
            <w:tcBorders>
              <w:top w:val="single" w:color="auto" w:sz="4" w:space="0"/>
              <w:left w:val="single" w:color="auto" w:sz="4" w:space="0"/>
              <w:bottom w:val="single" w:color="auto" w:sz="4" w:space="0"/>
              <w:right w:val="single" w:color="auto" w:sz="4" w:space="0"/>
              <w:tl2br w:val="single" w:color="auto" w:sz="4" w:space="0"/>
            </w:tcBorders>
            <w:noWrap w:val="0"/>
            <w:vAlign w:val="center"/>
          </w:tcPr>
          <w:p w14:paraId="69C00E68">
            <w:pPr>
              <w:widowControl/>
              <w:jc w:val="left"/>
              <w:rPr>
                <w:rFonts w:hint="eastAsia" w:ascii="宋体" w:hAnsi="宋体" w:eastAsia="宋体" w:cs="宋体"/>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DCE0A88">
            <w:pPr>
              <w:widowControl/>
              <w:jc w:val="left"/>
              <w:rPr>
                <w:rFonts w:hint="eastAsia" w:ascii="宋体" w:hAnsi="宋体" w:eastAsia="宋体" w:cs="宋体"/>
                <w:sz w:val="20"/>
                <w:szCs w:val="20"/>
              </w:rPr>
            </w:pPr>
          </w:p>
        </w:tc>
        <w:tc>
          <w:tcPr>
            <w:tcW w:w="3870" w:type="dxa"/>
            <w:vMerge w:val="continue"/>
            <w:tcBorders>
              <w:top w:val="single" w:color="auto" w:sz="4" w:space="0"/>
              <w:left w:val="single" w:color="auto" w:sz="4" w:space="0"/>
              <w:bottom w:val="single" w:color="auto" w:sz="4" w:space="0"/>
              <w:right w:val="single" w:color="auto" w:sz="4" w:space="0"/>
            </w:tcBorders>
            <w:noWrap w:val="0"/>
            <w:vAlign w:val="center"/>
          </w:tcPr>
          <w:p w14:paraId="25E559E2">
            <w:pPr>
              <w:widowControl/>
              <w:jc w:val="left"/>
              <w:rPr>
                <w:rFonts w:hint="eastAsia" w:ascii="宋体" w:hAnsi="宋体" w:eastAsia="宋体" w:cs="宋体"/>
                <w:sz w:val="20"/>
                <w:szCs w:val="20"/>
              </w:rPr>
            </w:pPr>
          </w:p>
        </w:tc>
        <w:tc>
          <w:tcPr>
            <w:tcW w:w="1135" w:type="dxa"/>
            <w:vMerge w:val="continue"/>
            <w:tcBorders>
              <w:top w:val="single" w:color="auto" w:sz="4" w:space="0"/>
              <w:left w:val="single" w:color="auto" w:sz="4" w:space="0"/>
              <w:bottom w:val="single" w:color="auto" w:sz="4" w:space="0"/>
              <w:right w:val="single" w:color="auto" w:sz="4" w:space="0"/>
            </w:tcBorders>
            <w:noWrap w:val="0"/>
            <w:vAlign w:val="center"/>
          </w:tcPr>
          <w:p w14:paraId="41EF0F37">
            <w:pPr>
              <w:widowControl/>
              <w:jc w:val="left"/>
              <w:rPr>
                <w:rFonts w:hint="eastAsia" w:ascii="宋体" w:hAnsi="宋体" w:eastAsia="宋体" w:cs="宋体"/>
                <w:sz w:val="20"/>
                <w:szCs w:val="20"/>
              </w:rPr>
            </w:pPr>
          </w:p>
        </w:tc>
        <w:tc>
          <w:tcPr>
            <w:tcW w:w="553" w:type="dxa"/>
            <w:tcBorders>
              <w:top w:val="single" w:color="auto" w:sz="4" w:space="0"/>
              <w:left w:val="single" w:color="auto" w:sz="4" w:space="0"/>
              <w:bottom w:val="single" w:color="auto" w:sz="4" w:space="0"/>
              <w:right w:val="single" w:color="auto" w:sz="4" w:space="0"/>
            </w:tcBorders>
            <w:noWrap w:val="0"/>
            <w:vAlign w:val="center"/>
          </w:tcPr>
          <w:p w14:paraId="0B66FD00">
            <w:pPr>
              <w:jc w:val="center"/>
              <w:rPr>
                <w:rFonts w:hint="eastAsia" w:ascii="宋体" w:hAnsi="宋体" w:eastAsia="宋体" w:cs="宋体"/>
                <w:sz w:val="20"/>
                <w:szCs w:val="20"/>
              </w:rPr>
            </w:pPr>
            <w:r>
              <w:rPr>
                <w:rFonts w:hint="eastAsia" w:ascii="宋体" w:hAnsi="宋体" w:eastAsia="宋体" w:cs="宋体"/>
                <w:sz w:val="20"/>
                <w:szCs w:val="20"/>
              </w:rPr>
              <w:t>周</w:t>
            </w:r>
          </w:p>
        </w:tc>
        <w:tc>
          <w:tcPr>
            <w:tcW w:w="611" w:type="dxa"/>
            <w:tcBorders>
              <w:top w:val="single" w:color="auto" w:sz="4" w:space="0"/>
              <w:left w:val="single" w:color="auto" w:sz="4" w:space="0"/>
              <w:bottom w:val="single" w:color="auto" w:sz="4" w:space="0"/>
              <w:right w:val="single" w:color="auto" w:sz="4" w:space="0"/>
            </w:tcBorders>
            <w:noWrap w:val="0"/>
            <w:vAlign w:val="center"/>
          </w:tcPr>
          <w:p w14:paraId="1CBF9D1B">
            <w:pPr>
              <w:jc w:val="center"/>
              <w:rPr>
                <w:rFonts w:hint="eastAsia" w:ascii="宋体" w:hAnsi="宋体" w:eastAsia="宋体" w:cs="宋体"/>
                <w:sz w:val="20"/>
                <w:szCs w:val="20"/>
              </w:rPr>
            </w:pPr>
            <w:r>
              <w:rPr>
                <w:rFonts w:hint="eastAsia" w:ascii="宋体" w:hAnsi="宋体" w:eastAsia="宋体" w:cs="宋体"/>
                <w:sz w:val="20"/>
                <w:szCs w:val="20"/>
              </w:rPr>
              <w:t>月</w:t>
            </w:r>
          </w:p>
        </w:tc>
        <w:tc>
          <w:tcPr>
            <w:tcW w:w="481" w:type="dxa"/>
            <w:tcBorders>
              <w:top w:val="single" w:color="auto" w:sz="4" w:space="0"/>
              <w:left w:val="single" w:color="auto" w:sz="4" w:space="0"/>
              <w:bottom w:val="single" w:color="auto" w:sz="4" w:space="0"/>
              <w:right w:val="single" w:color="auto" w:sz="4" w:space="0"/>
            </w:tcBorders>
            <w:noWrap w:val="0"/>
            <w:vAlign w:val="center"/>
          </w:tcPr>
          <w:p w14:paraId="26D12E29">
            <w:pPr>
              <w:jc w:val="center"/>
              <w:rPr>
                <w:rFonts w:hint="eastAsia" w:ascii="宋体" w:hAnsi="宋体" w:eastAsia="宋体" w:cs="宋体"/>
                <w:sz w:val="20"/>
                <w:szCs w:val="20"/>
              </w:rPr>
            </w:pPr>
            <w:r>
              <w:rPr>
                <w:rFonts w:hint="eastAsia" w:ascii="宋体" w:hAnsi="宋体" w:eastAsia="宋体" w:cs="宋体"/>
                <w:sz w:val="20"/>
                <w:szCs w:val="20"/>
              </w:rPr>
              <w:t>季</w:t>
            </w:r>
          </w:p>
        </w:tc>
      </w:tr>
      <w:tr w14:paraId="3CB57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4" w:hRule="atLeast"/>
          <w:jc w:val="center"/>
        </w:trPr>
        <w:tc>
          <w:tcPr>
            <w:tcW w:w="528" w:type="dxa"/>
            <w:vMerge w:val="restart"/>
            <w:tcBorders>
              <w:top w:val="single" w:color="auto" w:sz="4" w:space="0"/>
              <w:left w:val="single" w:color="auto" w:sz="4" w:space="0"/>
              <w:right w:val="single" w:color="auto" w:sz="4" w:space="0"/>
            </w:tcBorders>
            <w:noWrap w:val="0"/>
            <w:textDirection w:val="tbRlV"/>
            <w:vAlign w:val="center"/>
          </w:tcPr>
          <w:p w14:paraId="5CAA5A5B">
            <w:pPr>
              <w:widowControl/>
              <w:ind w:left="113" w:right="113"/>
              <w:jc w:val="center"/>
              <w:rPr>
                <w:rFonts w:hint="eastAsia" w:ascii="宋体" w:hAnsi="宋体" w:eastAsia="宋体" w:cs="宋体"/>
                <w:sz w:val="20"/>
                <w:szCs w:val="20"/>
              </w:rPr>
            </w:pPr>
            <w:r>
              <w:rPr>
                <w:rFonts w:hint="eastAsia" w:ascii="宋体" w:hAnsi="宋体" w:eastAsia="宋体" w:cs="宋体"/>
                <w:sz w:val="20"/>
                <w:szCs w:val="20"/>
              </w:rPr>
              <w:t>自动喷淋系统</w:t>
            </w:r>
          </w:p>
        </w:tc>
        <w:tc>
          <w:tcPr>
            <w:tcW w:w="528"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6E848E63">
            <w:pPr>
              <w:ind w:left="113" w:right="113"/>
              <w:jc w:val="center"/>
              <w:rPr>
                <w:rFonts w:hint="eastAsia" w:ascii="宋体" w:hAnsi="宋体" w:eastAsia="宋体" w:cs="宋体"/>
                <w:sz w:val="20"/>
                <w:szCs w:val="20"/>
              </w:rPr>
            </w:pPr>
            <w:r>
              <w:rPr>
                <w:rFonts w:hint="eastAsia" w:ascii="宋体" w:hAnsi="宋体" w:eastAsia="宋体" w:cs="宋体"/>
                <w:sz w:val="20"/>
                <w:szCs w:val="20"/>
              </w:rPr>
              <w:t>各类阀门</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36F029F">
            <w:pPr>
              <w:rPr>
                <w:rFonts w:hint="eastAsia" w:ascii="宋体" w:hAnsi="宋体" w:eastAsia="宋体" w:cs="宋体"/>
                <w:sz w:val="20"/>
                <w:szCs w:val="20"/>
              </w:rPr>
            </w:pPr>
            <w:r>
              <w:rPr>
                <w:rFonts w:hint="eastAsia" w:ascii="宋体" w:hAnsi="宋体" w:eastAsia="宋体" w:cs="宋体"/>
                <w:sz w:val="20"/>
                <w:szCs w:val="20"/>
              </w:rPr>
              <w:t>闸阀、截止阀</w:t>
            </w:r>
          </w:p>
        </w:tc>
        <w:tc>
          <w:tcPr>
            <w:tcW w:w="3870" w:type="dxa"/>
            <w:tcBorders>
              <w:top w:val="single" w:color="auto" w:sz="4" w:space="0"/>
              <w:left w:val="single" w:color="auto" w:sz="4" w:space="0"/>
              <w:bottom w:val="single" w:color="auto" w:sz="4" w:space="0"/>
              <w:right w:val="single" w:color="auto" w:sz="4" w:space="0"/>
            </w:tcBorders>
            <w:noWrap w:val="0"/>
            <w:vAlign w:val="top"/>
          </w:tcPr>
          <w:p w14:paraId="4AEF5121">
            <w:pPr>
              <w:rPr>
                <w:rFonts w:hint="eastAsia" w:ascii="宋体" w:hAnsi="宋体" w:eastAsia="宋体" w:cs="宋体"/>
                <w:sz w:val="20"/>
                <w:szCs w:val="20"/>
              </w:rPr>
            </w:pPr>
            <w:r>
              <w:rPr>
                <w:rFonts w:hint="eastAsia" w:ascii="宋体" w:hAnsi="宋体" w:eastAsia="宋体" w:cs="宋体"/>
                <w:sz w:val="20"/>
                <w:szCs w:val="20"/>
              </w:rPr>
              <w:t>闸阀、截止阀操作灵活到位，无渗、漏水现象，否则需作添加盘根处理，丝杠处涂润滑脂养护</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5516A94E">
            <w:pPr>
              <w:rPr>
                <w:rFonts w:hint="eastAsia" w:ascii="宋体" w:hAnsi="宋体" w:eastAsia="宋体" w:cs="宋体"/>
                <w:sz w:val="20"/>
                <w:szCs w:val="20"/>
              </w:rPr>
            </w:pPr>
            <w:r>
              <w:rPr>
                <w:rFonts w:hint="eastAsia" w:ascii="宋体" w:hAnsi="宋体" w:eastAsia="宋体" w:cs="宋体"/>
                <w:sz w:val="20"/>
                <w:szCs w:val="20"/>
              </w:rPr>
              <w:t>不合格每一处扣0.5分</w:t>
            </w:r>
          </w:p>
        </w:tc>
        <w:tc>
          <w:tcPr>
            <w:tcW w:w="553" w:type="dxa"/>
            <w:tcBorders>
              <w:top w:val="single" w:color="auto" w:sz="4" w:space="0"/>
              <w:left w:val="single" w:color="auto" w:sz="4" w:space="0"/>
              <w:bottom w:val="single" w:color="auto" w:sz="4" w:space="0"/>
              <w:right w:val="single" w:color="auto" w:sz="4" w:space="0"/>
            </w:tcBorders>
            <w:noWrap w:val="0"/>
            <w:vAlign w:val="top"/>
          </w:tcPr>
          <w:p w14:paraId="0D66BEAE">
            <w:pPr>
              <w:jc w:val="center"/>
              <w:rPr>
                <w:rFonts w:hint="eastAsia" w:ascii="宋体" w:hAnsi="宋体" w:eastAsia="宋体" w:cs="宋体"/>
                <w:sz w:val="20"/>
                <w:szCs w:val="20"/>
              </w:rPr>
            </w:pPr>
          </w:p>
        </w:tc>
        <w:tc>
          <w:tcPr>
            <w:tcW w:w="611" w:type="dxa"/>
            <w:tcBorders>
              <w:top w:val="single" w:color="auto" w:sz="4" w:space="0"/>
              <w:left w:val="single" w:color="auto" w:sz="4" w:space="0"/>
              <w:bottom w:val="single" w:color="auto" w:sz="4" w:space="0"/>
              <w:right w:val="single" w:color="auto" w:sz="4" w:space="0"/>
            </w:tcBorders>
            <w:noWrap w:val="0"/>
            <w:vAlign w:val="top"/>
          </w:tcPr>
          <w:p w14:paraId="3EB93F1F">
            <w:pPr>
              <w:jc w:val="center"/>
              <w:rPr>
                <w:rFonts w:hint="eastAsia" w:ascii="宋体" w:hAnsi="宋体" w:eastAsia="宋体" w:cs="宋体"/>
                <w:sz w:val="20"/>
                <w:szCs w:val="20"/>
              </w:rPr>
            </w:pPr>
          </w:p>
        </w:tc>
        <w:tc>
          <w:tcPr>
            <w:tcW w:w="481" w:type="dxa"/>
            <w:tcBorders>
              <w:top w:val="single" w:color="auto" w:sz="4" w:space="0"/>
              <w:left w:val="single" w:color="auto" w:sz="4" w:space="0"/>
              <w:bottom w:val="single" w:color="auto" w:sz="4" w:space="0"/>
              <w:right w:val="single" w:color="auto" w:sz="4" w:space="0"/>
            </w:tcBorders>
            <w:noWrap w:val="0"/>
            <w:vAlign w:val="center"/>
          </w:tcPr>
          <w:p w14:paraId="7519221B">
            <w:pPr>
              <w:jc w:val="center"/>
              <w:rPr>
                <w:rFonts w:hint="eastAsia" w:ascii="宋体" w:hAnsi="宋体" w:eastAsia="宋体" w:cs="宋体"/>
                <w:b/>
                <w:sz w:val="20"/>
                <w:szCs w:val="20"/>
              </w:rPr>
            </w:pPr>
            <w:r>
              <w:rPr>
                <w:rFonts w:hint="eastAsia" w:ascii="宋体" w:hAnsi="宋体" w:eastAsia="宋体" w:cs="宋体"/>
                <w:b/>
                <w:sz w:val="20"/>
                <w:szCs w:val="20"/>
              </w:rPr>
              <w:t>ⅴ</w:t>
            </w:r>
          </w:p>
        </w:tc>
      </w:tr>
      <w:tr w14:paraId="22445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8" w:hRule="atLeast"/>
          <w:jc w:val="center"/>
        </w:trPr>
        <w:tc>
          <w:tcPr>
            <w:tcW w:w="528" w:type="dxa"/>
            <w:vMerge w:val="continue"/>
            <w:tcBorders>
              <w:left w:val="single" w:color="auto" w:sz="4" w:space="0"/>
              <w:right w:val="single" w:color="auto" w:sz="4" w:space="0"/>
            </w:tcBorders>
            <w:noWrap w:val="0"/>
            <w:vAlign w:val="center"/>
          </w:tcPr>
          <w:p w14:paraId="406D55BD">
            <w:pPr>
              <w:widowControl/>
              <w:jc w:val="left"/>
              <w:rPr>
                <w:rFonts w:hint="eastAsia" w:ascii="宋体" w:hAnsi="宋体" w:eastAsia="宋体" w:cs="宋体"/>
                <w:sz w:val="20"/>
                <w:szCs w:val="20"/>
              </w:rPr>
            </w:pPr>
          </w:p>
        </w:tc>
        <w:tc>
          <w:tcPr>
            <w:tcW w:w="528" w:type="dxa"/>
            <w:vMerge w:val="continue"/>
            <w:tcBorders>
              <w:top w:val="single" w:color="auto" w:sz="4" w:space="0"/>
              <w:left w:val="single" w:color="auto" w:sz="4" w:space="0"/>
              <w:bottom w:val="single" w:color="auto" w:sz="4" w:space="0"/>
              <w:right w:val="single" w:color="auto" w:sz="4" w:space="0"/>
            </w:tcBorders>
            <w:noWrap w:val="0"/>
            <w:vAlign w:val="center"/>
          </w:tcPr>
          <w:p w14:paraId="45CE157C">
            <w:pPr>
              <w:widowControl/>
              <w:jc w:val="left"/>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C5A52AA">
            <w:pPr>
              <w:rPr>
                <w:rFonts w:hint="eastAsia" w:ascii="宋体" w:hAnsi="宋体" w:eastAsia="宋体" w:cs="宋体"/>
                <w:sz w:val="20"/>
                <w:szCs w:val="20"/>
              </w:rPr>
            </w:pPr>
            <w:r>
              <w:rPr>
                <w:rFonts w:hint="eastAsia" w:ascii="宋体" w:hAnsi="宋体" w:eastAsia="宋体" w:cs="宋体"/>
                <w:sz w:val="20"/>
                <w:szCs w:val="20"/>
              </w:rPr>
              <w:t>各类自动排气阀</w:t>
            </w:r>
          </w:p>
        </w:tc>
        <w:tc>
          <w:tcPr>
            <w:tcW w:w="3870" w:type="dxa"/>
            <w:tcBorders>
              <w:top w:val="single" w:color="auto" w:sz="4" w:space="0"/>
              <w:left w:val="single" w:color="auto" w:sz="4" w:space="0"/>
              <w:bottom w:val="single" w:color="auto" w:sz="4" w:space="0"/>
              <w:right w:val="single" w:color="auto" w:sz="4" w:space="0"/>
            </w:tcBorders>
            <w:noWrap w:val="0"/>
            <w:vAlign w:val="top"/>
          </w:tcPr>
          <w:p w14:paraId="7085B713">
            <w:pPr>
              <w:rPr>
                <w:rFonts w:hint="eastAsia" w:ascii="宋体" w:hAnsi="宋体" w:eastAsia="宋体" w:cs="宋体"/>
                <w:sz w:val="20"/>
                <w:szCs w:val="20"/>
              </w:rPr>
            </w:pPr>
            <w:r>
              <w:rPr>
                <w:rFonts w:hint="eastAsia" w:ascii="宋体" w:hAnsi="宋体" w:eastAsia="宋体" w:cs="宋体"/>
                <w:sz w:val="20"/>
                <w:szCs w:val="20"/>
              </w:rPr>
              <w:t>各类排气阀排气正常，无渗、漏水现象；阀体外表清洁</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127314D8">
            <w:pPr>
              <w:rPr>
                <w:rFonts w:hint="eastAsia" w:ascii="宋体" w:hAnsi="宋体" w:eastAsia="宋体" w:cs="宋体"/>
                <w:sz w:val="20"/>
                <w:szCs w:val="20"/>
              </w:rPr>
            </w:pPr>
            <w:r>
              <w:rPr>
                <w:rFonts w:hint="eastAsia" w:ascii="宋体" w:hAnsi="宋体" w:eastAsia="宋体" w:cs="宋体"/>
                <w:sz w:val="20"/>
                <w:szCs w:val="20"/>
              </w:rPr>
              <w:t>不合格每一处扣1分</w:t>
            </w:r>
          </w:p>
        </w:tc>
        <w:tc>
          <w:tcPr>
            <w:tcW w:w="553" w:type="dxa"/>
            <w:tcBorders>
              <w:top w:val="single" w:color="auto" w:sz="4" w:space="0"/>
              <w:left w:val="single" w:color="auto" w:sz="4" w:space="0"/>
              <w:bottom w:val="single" w:color="auto" w:sz="4" w:space="0"/>
              <w:right w:val="single" w:color="auto" w:sz="4" w:space="0"/>
            </w:tcBorders>
            <w:noWrap w:val="0"/>
            <w:vAlign w:val="top"/>
          </w:tcPr>
          <w:p w14:paraId="209413D9">
            <w:pPr>
              <w:jc w:val="center"/>
              <w:rPr>
                <w:rFonts w:hint="eastAsia" w:ascii="宋体" w:hAnsi="宋体" w:eastAsia="宋体" w:cs="宋体"/>
                <w:sz w:val="20"/>
                <w:szCs w:val="20"/>
              </w:rPr>
            </w:pPr>
          </w:p>
        </w:tc>
        <w:tc>
          <w:tcPr>
            <w:tcW w:w="611" w:type="dxa"/>
            <w:tcBorders>
              <w:top w:val="single" w:color="auto" w:sz="4" w:space="0"/>
              <w:left w:val="single" w:color="auto" w:sz="4" w:space="0"/>
              <w:bottom w:val="single" w:color="auto" w:sz="4" w:space="0"/>
              <w:right w:val="single" w:color="auto" w:sz="4" w:space="0"/>
            </w:tcBorders>
            <w:noWrap w:val="0"/>
            <w:vAlign w:val="top"/>
          </w:tcPr>
          <w:p w14:paraId="2F228A86">
            <w:pPr>
              <w:jc w:val="center"/>
              <w:rPr>
                <w:rFonts w:hint="eastAsia" w:ascii="宋体" w:hAnsi="宋体" w:eastAsia="宋体" w:cs="宋体"/>
                <w:sz w:val="20"/>
                <w:szCs w:val="20"/>
              </w:rPr>
            </w:pPr>
          </w:p>
        </w:tc>
        <w:tc>
          <w:tcPr>
            <w:tcW w:w="481" w:type="dxa"/>
            <w:tcBorders>
              <w:top w:val="single" w:color="auto" w:sz="4" w:space="0"/>
              <w:left w:val="single" w:color="auto" w:sz="4" w:space="0"/>
              <w:bottom w:val="single" w:color="auto" w:sz="4" w:space="0"/>
              <w:right w:val="single" w:color="auto" w:sz="4" w:space="0"/>
            </w:tcBorders>
            <w:noWrap w:val="0"/>
            <w:vAlign w:val="top"/>
          </w:tcPr>
          <w:p w14:paraId="4042DC93">
            <w:pPr>
              <w:jc w:val="center"/>
              <w:rPr>
                <w:rFonts w:hint="eastAsia" w:ascii="宋体" w:hAnsi="宋体" w:eastAsia="宋体" w:cs="宋体"/>
                <w:b/>
                <w:sz w:val="20"/>
                <w:szCs w:val="20"/>
              </w:rPr>
            </w:pPr>
            <w:r>
              <w:rPr>
                <w:rFonts w:hint="eastAsia" w:ascii="宋体" w:hAnsi="宋体" w:eastAsia="宋体" w:cs="宋体"/>
                <w:b/>
                <w:sz w:val="20"/>
                <w:szCs w:val="20"/>
              </w:rPr>
              <w:t>ⅴ</w:t>
            </w:r>
          </w:p>
        </w:tc>
      </w:tr>
      <w:tr w14:paraId="1156F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94" w:hRule="atLeast"/>
          <w:jc w:val="center"/>
        </w:trPr>
        <w:tc>
          <w:tcPr>
            <w:tcW w:w="528" w:type="dxa"/>
            <w:vMerge w:val="continue"/>
            <w:tcBorders>
              <w:left w:val="single" w:color="auto" w:sz="4" w:space="0"/>
              <w:right w:val="single" w:color="auto" w:sz="4" w:space="0"/>
            </w:tcBorders>
            <w:noWrap w:val="0"/>
            <w:vAlign w:val="center"/>
          </w:tcPr>
          <w:p w14:paraId="10462E83">
            <w:pPr>
              <w:widowControl/>
              <w:jc w:val="left"/>
              <w:rPr>
                <w:rFonts w:hint="eastAsia" w:ascii="宋体" w:hAnsi="宋体" w:eastAsia="宋体" w:cs="宋体"/>
                <w:sz w:val="20"/>
                <w:szCs w:val="20"/>
              </w:rPr>
            </w:pPr>
          </w:p>
        </w:tc>
        <w:tc>
          <w:tcPr>
            <w:tcW w:w="528" w:type="dxa"/>
            <w:vMerge w:val="continue"/>
            <w:tcBorders>
              <w:top w:val="single" w:color="auto" w:sz="4" w:space="0"/>
              <w:left w:val="single" w:color="auto" w:sz="4" w:space="0"/>
              <w:bottom w:val="single" w:color="auto" w:sz="4" w:space="0"/>
              <w:right w:val="single" w:color="auto" w:sz="4" w:space="0"/>
            </w:tcBorders>
            <w:noWrap w:val="0"/>
            <w:vAlign w:val="center"/>
          </w:tcPr>
          <w:p w14:paraId="1B2DECA1">
            <w:pPr>
              <w:widowControl/>
              <w:jc w:val="left"/>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0E3E9390">
            <w:pPr>
              <w:rPr>
                <w:rFonts w:hint="eastAsia" w:ascii="宋体" w:hAnsi="宋体" w:eastAsia="宋体" w:cs="宋体"/>
                <w:sz w:val="20"/>
                <w:szCs w:val="20"/>
              </w:rPr>
            </w:pPr>
            <w:r>
              <w:rPr>
                <w:rFonts w:hint="eastAsia" w:ascii="宋体" w:hAnsi="宋体" w:eastAsia="宋体" w:cs="宋体"/>
                <w:sz w:val="20"/>
                <w:szCs w:val="20"/>
              </w:rPr>
              <w:t>减压阀工况设置</w:t>
            </w:r>
          </w:p>
        </w:tc>
        <w:tc>
          <w:tcPr>
            <w:tcW w:w="3870" w:type="dxa"/>
            <w:tcBorders>
              <w:top w:val="single" w:color="auto" w:sz="4" w:space="0"/>
              <w:left w:val="single" w:color="auto" w:sz="4" w:space="0"/>
              <w:bottom w:val="single" w:color="auto" w:sz="4" w:space="0"/>
              <w:right w:val="single" w:color="auto" w:sz="4" w:space="0"/>
            </w:tcBorders>
            <w:noWrap w:val="0"/>
            <w:vAlign w:val="top"/>
          </w:tcPr>
          <w:p w14:paraId="5C3ED134">
            <w:pPr>
              <w:rPr>
                <w:rFonts w:hint="eastAsia" w:ascii="宋体" w:hAnsi="宋体" w:eastAsia="宋体" w:cs="宋体"/>
                <w:bCs/>
                <w:sz w:val="20"/>
                <w:szCs w:val="20"/>
              </w:rPr>
            </w:pPr>
            <w:r>
              <w:rPr>
                <w:rFonts w:hint="eastAsia" w:ascii="宋体" w:hAnsi="宋体" w:eastAsia="宋体" w:cs="宋体"/>
                <w:bCs/>
                <w:sz w:val="20"/>
                <w:szCs w:val="20"/>
              </w:rPr>
              <w:t>①进、出水压力要设置合理（应控制在5</w:t>
            </w:r>
          </w:p>
          <w:p w14:paraId="23166ACC">
            <w:pPr>
              <w:ind w:firstLine="200" w:firstLineChars="100"/>
              <w:rPr>
                <w:rFonts w:hint="eastAsia" w:ascii="宋体" w:hAnsi="宋体" w:eastAsia="宋体" w:cs="宋体"/>
                <w:bCs/>
                <w:sz w:val="20"/>
                <w:szCs w:val="20"/>
              </w:rPr>
            </w:pPr>
            <w:r>
              <w:rPr>
                <w:rFonts w:hint="eastAsia" w:ascii="宋体" w:hAnsi="宋体" w:eastAsia="宋体" w:cs="宋体"/>
                <w:bCs/>
                <w:sz w:val="20"/>
                <w:szCs w:val="20"/>
              </w:rPr>
              <w:t>：1范围内）以动态放水设置出水压力为准；</w:t>
            </w:r>
          </w:p>
          <w:p w14:paraId="205DC1CE">
            <w:pPr>
              <w:rPr>
                <w:rFonts w:hint="eastAsia" w:ascii="宋体" w:hAnsi="宋体" w:eastAsia="宋体" w:cs="宋体"/>
                <w:bCs/>
                <w:sz w:val="20"/>
                <w:szCs w:val="20"/>
              </w:rPr>
            </w:pPr>
            <w:r>
              <w:rPr>
                <w:rFonts w:hint="eastAsia" w:ascii="宋体" w:hAnsi="宋体" w:eastAsia="宋体" w:cs="宋体"/>
                <w:bCs/>
                <w:sz w:val="20"/>
                <w:szCs w:val="20"/>
              </w:rPr>
              <w:t>②每季定期清洁减压阀前端过滤阀的过</w:t>
            </w:r>
          </w:p>
          <w:p w14:paraId="19EBC536">
            <w:pPr>
              <w:ind w:left="239" w:leftChars="114"/>
              <w:rPr>
                <w:rFonts w:hint="eastAsia" w:ascii="宋体" w:hAnsi="宋体" w:eastAsia="宋体" w:cs="宋体"/>
                <w:bCs/>
                <w:sz w:val="20"/>
                <w:szCs w:val="20"/>
              </w:rPr>
            </w:pPr>
            <w:r>
              <w:rPr>
                <w:rFonts w:hint="eastAsia" w:ascii="宋体" w:hAnsi="宋体" w:eastAsia="宋体" w:cs="宋体"/>
                <w:bCs/>
                <w:sz w:val="20"/>
                <w:szCs w:val="20"/>
              </w:rPr>
              <w:t>滤网，以满足减压阀工作状况要求；</w:t>
            </w:r>
            <w:r>
              <w:rPr>
                <w:rFonts w:hint="eastAsia" w:ascii="宋体" w:hAnsi="宋体" w:eastAsia="宋体" w:cs="宋体"/>
                <w:sz w:val="20"/>
                <w:szCs w:val="20"/>
              </w:rPr>
              <w:t>减压阀阀体应无渗、漏水现象；</w:t>
            </w:r>
            <w:r>
              <w:rPr>
                <w:rFonts w:hint="eastAsia" w:ascii="宋体" w:hAnsi="宋体" w:eastAsia="宋体" w:cs="宋体"/>
                <w:bCs/>
                <w:sz w:val="20"/>
                <w:szCs w:val="20"/>
              </w:rPr>
              <w:t>减压</w:t>
            </w:r>
          </w:p>
          <w:p w14:paraId="594196F7">
            <w:pPr>
              <w:ind w:left="240" w:hanging="200" w:hangingChars="100"/>
              <w:rPr>
                <w:rFonts w:hint="eastAsia" w:ascii="宋体" w:hAnsi="宋体" w:eastAsia="宋体" w:cs="宋体"/>
                <w:bCs/>
                <w:sz w:val="20"/>
                <w:szCs w:val="20"/>
              </w:rPr>
            </w:pPr>
            <w:r>
              <w:rPr>
                <w:rFonts w:hint="eastAsia" w:ascii="宋体" w:hAnsi="宋体" w:eastAsia="宋体" w:cs="宋体"/>
                <w:sz w:val="20"/>
                <w:szCs w:val="20"/>
              </w:rPr>
              <w:t>③阀进、出水压力数值接近，已表明减压阀本身已存在故障，需要及时修理</w:t>
            </w:r>
          </w:p>
          <w:p w14:paraId="46782702">
            <w:pPr>
              <w:rPr>
                <w:rFonts w:hint="eastAsia" w:ascii="宋体" w:hAnsi="宋体" w:eastAsia="宋体" w:cs="宋体"/>
                <w:sz w:val="20"/>
                <w:szCs w:val="20"/>
              </w:rPr>
            </w:pPr>
            <w:r>
              <w:rPr>
                <w:rFonts w:hint="eastAsia" w:ascii="宋体" w:hAnsi="宋体" w:eastAsia="宋体" w:cs="宋体"/>
                <w:sz w:val="20"/>
                <w:szCs w:val="20"/>
              </w:rPr>
              <w:t>④对于活塞式减压阀，不能堵塞其阀体</w:t>
            </w:r>
          </w:p>
          <w:p w14:paraId="57A93D4A">
            <w:pPr>
              <w:ind w:firstLine="200" w:firstLineChars="100"/>
              <w:rPr>
                <w:rFonts w:hint="eastAsia" w:ascii="宋体" w:hAnsi="宋体" w:eastAsia="宋体" w:cs="宋体"/>
                <w:sz w:val="20"/>
                <w:szCs w:val="20"/>
              </w:rPr>
            </w:pPr>
            <w:r>
              <w:rPr>
                <w:rFonts w:hint="eastAsia" w:ascii="宋体" w:hAnsi="宋体" w:eastAsia="宋体" w:cs="宋体"/>
                <w:sz w:val="20"/>
                <w:szCs w:val="20"/>
              </w:rPr>
              <w:t>上约1.5mm阀芯呼吸透气孔，以防减压阀失控；</w:t>
            </w:r>
          </w:p>
          <w:p w14:paraId="136083BF">
            <w:pPr>
              <w:ind w:left="240" w:hanging="200" w:hangingChars="100"/>
              <w:rPr>
                <w:rFonts w:hint="eastAsia" w:ascii="宋体" w:hAnsi="宋体" w:eastAsia="宋体" w:cs="宋体"/>
                <w:bCs/>
                <w:sz w:val="20"/>
                <w:szCs w:val="20"/>
              </w:rPr>
            </w:pPr>
            <w:r>
              <w:rPr>
                <w:rFonts w:hint="eastAsia" w:ascii="宋体" w:hAnsi="宋体" w:eastAsia="宋体" w:cs="宋体"/>
                <w:sz w:val="20"/>
                <w:szCs w:val="20"/>
              </w:rPr>
              <w:t>⑤减压阀管网中减压阀不能带有空气运行，否则易损坏管网及用水器具。</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24D64B92">
            <w:pPr>
              <w:rPr>
                <w:rFonts w:hint="eastAsia" w:ascii="宋体" w:hAnsi="宋体" w:eastAsia="宋体" w:cs="宋体"/>
                <w:bCs/>
                <w:sz w:val="20"/>
                <w:szCs w:val="20"/>
              </w:rPr>
            </w:pPr>
            <w:r>
              <w:rPr>
                <w:rFonts w:hint="eastAsia" w:ascii="宋体" w:hAnsi="宋体" w:eastAsia="宋体" w:cs="宋体"/>
                <w:bCs/>
                <w:sz w:val="20"/>
                <w:szCs w:val="20"/>
              </w:rPr>
              <w:t>设置的出水压力不正确扣2分</w:t>
            </w:r>
          </w:p>
        </w:tc>
        <w:tc>
          <w:tcPr>
            <w:tcW w:w="553" w:type="dxa"/>
            <w:tcBorders>
              <w:top w:val="single" w:color="auto" w:sz="4" w:space="0"/>
              <w:left w:val="single" w:color="auto" w:sz="4" w:space="0"/>
              <w:bottom w:val="single" w:color="auto" w:sz="4" w:space="0"/>
              <w:right w:val="single" w:color="auto" w:sz="4" w:space="0"/>
            </w:tcBorders>
            <w:noWrap w:val="0"/>
            <w:vAlign w:val="top"/>
          </w:tcPr>
          <w:p w14:paraId="5C9FB536">
            <w:pPr>
              <w:jc w:val="center"/>
              <w:rPr>
                <w:rFonts w:hint="eastAsia" w:ascii="宋体" w:hAnsi="宋体" w:eastAsia="宋体" w:cs="宋体"/>
                <w:sz w:val="20"/>
                <w:szCs w:val="20"/>
              </w:rPr>
            </w:pPr>
          </w:p>
        </w:tc>
        <w:tc>
          <w:tcPr>
            <w:tcW w:w="611" w:type="dxa"/>
            <w:tcBorders>
              <w:top w:val="single" w:color="auto" w:sz="4" w:space="0"/>
              <w:left w:val="single" w:color="auto" w:sz="4" w:space="0"/>
              <w:bottom w:val="single" w:color="auto" w:sz="4" w:space="0"/>
              <w:right w:val="single" w:color="auto" w:sz="4" w:space="0"/>
            </w:tcBorders>
            <w:noWrap w:val="0"/>
            <w:vAlign w:val="center"/>
          </w:tcPr>
          <w:p w14:paraId="7E606F6C">
            <w:pPr>
              <w:jc w:val="center"/>
              <w:rPr>
                <w:rFonts w:hint="eastAsia" w:ascii="宋体" w:hAnsi="宋体" w:eastAsia="宋体" w:cs="宋体"/>
                <w:b/>
                <w:sz w:val="20"/>
                <w:szCs w:val="20"/>
              </w:rPr>
            </w:pPr>
            <w:r>
              <w:rPr>
                <w:rFonts w:hint="eastAsia" w:ascii="宋体" w:hAnsi="宋体" w:eastAsia="宋体" w:cs="宋体"/>
                <w:b/>
                <w:sz w:val="20"/>
                <w:szCs w:val="20"/>
              </w:rPr>
              <w:t>ⅴ</w:t>
            </w:r>
          </w:p>
        </w:tc>
        <w:tc>
          <w:tcPr>
            <w:tcW w:w="481" w:type="dxa"/>
            <w:tcBorders>
              <w:top w:val="single" w:color="auto" w:sz="4" w:space="0"/>
              <w:left w:val="single" w:color="auto" w:sz="4" w:space="0"/>
              <w:bottom w:val="single" w:color="auto" w:sz="4" w:space="0"/>
              <w:right w:val="single" w:color="auto" w:sz="4" w:space="0"/>
            </w:tcBorders>
            <w:noWrap w:val="0"/>
            <w:vAlign w:val="top"/>
          </w:tcPr>
          <w:p w14:paraId="033609B9">
            <w:pPr>
              <w:jc w:val="center"/>
              <w:rPr>
                <w:rFonts w:hint="eastAsia" w:ascii="宋体" w:hAnsi="宋体" w:eastAsia="宋体" w:cs="宋体"/>
                <w:sz w:val="20"/>
                <w:szCs w:val="20"/>
              </w:rPr>
            </w:pPr>
          </w:p>
        </w:tc>
      </w:tr>
      <w:tr w14:paraId="1060A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4" w:hRule="atLeast"/>
          <w:jc w:val="center"/>
        </w:trPr>
        <w:tc>
          <w:tcPr>
            <w:tcW w:w="528" w:type="dxa"/>
            <w:vMerge w:val="continue"/>
            <w:tcBorders>
              <w:left w:val="single" w:color="auto" w:sz="4" w:space="0"/>
              <w:right w:val="single" w:color="auto" w:sz="4" w:space="0"/>
            </w:tcBorders>
            <w:noWrap w:val="0"/>
            <w:vAlign w:val="center"/>
          </w:tcPr>
          <w:p w14:paraId="5B02E8FA">
            <w:pPr>
              <w:widowControl/>
              <w:jc w:val="left"/>
              <w:rPr>
                <w:rFonts w:hint="eastAsia" w:ascii="宋体" w:hAnsi="宋体" w:eastAsia="宋体" w:cs="宋体"/>
                <w:sz w:val="20"/>
                <w:szCs w:val="20"/>
              </w:rPr>
            </w:pPr>
          </w:p>
        </w:tc>
        <w:tc>
          <w:tcPr>
            <w:tcW w:w="528" w:type="dxa"/>
            <w:tcBorders>
              <w:top w:val="single" w:color="auto" w:sz="4" w:space="0"/>
              <w:left w:val="single" w:color="auto" w:sz="4" w:space="0"/>
              <w:bottom w:val="single" w:color="auto" w:sz="4" w:space="0"/>
              <w:right w:val="single" w:color="auto" w:sz="4" w:space="0"/>
            </w:tcBorders>
            <w:noWrap w:val="0"/>
            <w:textDirection w:val="tbRlV"/>
            <w:vAlign w:val="center"/>
          </w:tcPr>
          <w:p w14:paraId="259E5E0C">
            <w:pPr>
              <w:widowControl/>
              <w:spacing w:before="100" w:beforeAutospacing="1" w:after="100" w:afterAutospacing="1"/>
              <w:jc w:val="left"/>
              <w:rPr>
                <w:rFonts w:hint="eastAsia" w:ascii="宋体" w:hAnsi="宋体" w:eastAsia="宋体" w:cs="宋体"/>
                <w:kern w:val="0"/>
                <w:sz w:val="20"/>
                <w:szCs w:val="20"/>
              </w:rPr>
            </w:pPr>
            <w:r>
              <w:rPr>
                <w:rFonts w:hint="eastAsia" w:ascii="宋体" w:hAnsi="宋体" w:eastAsia="宋体" w:cs="宋体"/>
                <w:kern w:val="0"/>
                <w:sz w:val="20"/>
                <w:szCs w:val="20"/>
              </w:rPr>
              <w:t>水流指示器</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DC7E1D4">
            <w:pPr>
              <w:rPr>
                <w:rFonts w:hint="eastAsia" w:ascii="宋体" w:hAnsi="宋体" w:eastAsia="宋体" w:cs="宋体"/>
                <w:sz w:val="20"/>
                <w:szCs w:val="20"/>
              </w:rPr>
            </w:pPr>
            <w:r>
              <w:rPr>
                <w:rFonts w:hint="eastAsia" w:ascii="宋体" w:hAnsi="宋体" w:eastAsia="宋体" w:cs="宋体"/>
                <w:sz w:val="20"/>
                <w:szCs w:val="20"/>
              </w:rPr>
              <w:t>水流指示器工作时，信号反馈到主机状况</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07EBCDFE">
            <w:pPr>
              <w:rPr>
                <w:rFonts w:hint="eastAsia" w:ascii="宋体" w:hAnsi="宋体" w:eastAsia="宋体" w:cs="宋体"/>
                <w:sz w:val="20"/>
                <w:szCs w:val="20"/>
              </w:rPr>
            </w:pPr>
            <w:r>
              <w:rPr>
                <w:rFonts w:hint="eastAsia" w:ascii="宋体" w:hAnsi="宋体" w:eastAsia="宋体" w:cs="宋体"/>
                <w:sz w:val="20"/>
                <w:szCs w:val="20"/>
              </w:rPr>
              <w:t>系统管理的水流指示器动作时，主机要能监视到动作信号，相应中继器的地址码、中文信息</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76348DF7">
            <w:pPr>
              <w:rPr>
                <w:rFonts w:hint="eastAsia" w:ascii="宋体" w:hAnsi="宋体" w:eastAsia="宋体" w:cs="宋体"/>
                <w:sz w:val="20"/>
                <w:szCs w:val="20"/>
              </w:rPr>
            </w:pPr>
            <w:r>
              <w:rPr>
                <w:rFonts w:hint="eastAsia" w:ascii="宋体" w:hAnsi="宋体" w:eastAsia="宋体" w:cs="宋体"/>
                <w:sz w:val="20"/>
                <w:szCs w:val="20"/>
              </w:rPr>
              <w:t>不合要求每一处扣1分</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2A8BBDE7">
            <w:pPr>
              <w:rPr>
                <w:rFonts w:hint="eastAsia" w:ascii="宋体" w:hAnsi="宋体" w:eastAsia="宋体" w:cs="宋体"/>
                <w:sz w:val="20"/>
                <w:szCs w:val="20"/>
              </w:rPr>
            </w:pPr>
          </w:p>
        </w:tc>
        <w:tc>
          <w:tcPr>
            <w:tcW w:w="611" w:type="dxa"/>
            <w:tcBorders>
              <w:top w:val="single" w:color="auto" w:sz="4" w:space="0"/>
              <w:left w:val="single" w:color="auto" w:sz="4" w:space="0"/>
              <w:bottom w:val="single" w:color="auto" w:sz="4" w:space="0"/>
              <w:right w:val="single" w:color="auto" w:sz="4" w:space="0"/>
            </w:tcBorders>
            <w:noWrap w:val="0"/>
            <w:vAlign w:val="center"/>
          </w:tcPr>
          <w:p w14:paraId="42848083">
            <w:pPr>
              <w:jc w:val="center"/>
              <w:rPr>
                <w:rFonts w:hint="eastAsia" w:ascii="宋体" w:hAnsi="宋体" w:eastAsia="宋体" w:cs="宋体"/>
                <w:b/>
                <w:sz w:val="20"/>
                <w:szCs w:val="20"/>
              </w:rPr>
            </w:pPr>
            <w:r>
              <w:rPr>
                <w:rFonts w:hint="eastAsia" w:ascii="宋体" w:hAnsi="宋体" w:eastAsia="宋体" w:cs="宋体"/>
                <w:b/>
                <w:sz w:val="20"/>
                <w:szCs w:val="20"/>
              </w:rPr>
              <w:t>ⅴ</w:t>
            </w:r>
          </w:p>
        </w:tc>
        <w:tc>
          <w:tcPr>
            <w:tcW w:w="481" w:type="dxa"/>
            <w:tcBorders>
              <w:top w:val="single" w:color="auto" w:sz="4" w:space="0"/>
              <w:left w:val="single" w:color="auto" w:sz="4" w:space="0"/>
              <w:bottom w:val="single" w:color="auto" w:sz="4" w:space="0"/>
              <w:right w:val="single" w:color="auto" w:sz="4" w:space="0"/>
            </w:tcBorders>
            <w:noWrap w:val="0"/>
            <w:vAlign w:val="top"/>
          </w:tcPr>
          <w:p w14:paraId="63DABCC4">
            <w:pPr>
              <w:jc w:val="center"/>
              <w:rPr>
                <w:rFonts w:hint="eastAsia" w:ascii="宋体" w:hAnsi="宋体" w:eastAsia="宋体" w:cs="宋体"/>
                <w:sz w:val="20"/>
                <w:szCs w:val="20"/>
              </w:rPr>
            </w:pPr>
          </w:p>
        </w:tc>
      </w:tr>
      <w:tr w14:paraId="5EDE0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528" w:type="dxa"/>
            <w:vMerge w:val="continue"/>
            <w:tcBorders>
              <w:left w:val="single" w:color="auto" w:sz="4" w:space="0"/>
              <w:right w:val="single" w:color="auto" w:sz="4" w:space="0"/>
            </w:tcBorders>
            <w:noWrap w:val="0"/>
            <w:vAlign w:val="center"/>
          </w:tcPr>
          <w:p w14:paraId="633CB246">
            <w:pPr>
              <w:widowControl/>
              <w:jc w:val="left"/>
              <w:rPr>
                <w:rFonts w:hint="eastAsia" w:ascii="宋体" w:hAnsi="宋体" w:eastAsia="宋体" w:cs="宋体"/>
                <w:sz w:val="20"/>
                <w:szCs w:val="20"/>
              </w:rPr>
            </w:pPr>
          </w:p>
        </w:tc>
        <w:tc>
          <w:tcPr>
            <w:tcW w:w="528" w:type="dxa"/>
            <w:tcBorders>
              <w:top w:val="single" w:color="auto" w:sz="4" w:space="0"/>
              <w:left w:val="single" w:color="auto" w:sz="4" w:space="0"/>
              <w:bottom w:val="single" w:color="auto" w:sz="4" w:space="0"/>
              <w:right w:val="single" w:color="auto" w:sz="4" w:space="0"/>
            </w:tcBorders>
            <w:noWrap w:val="0"/>
            <w:textDirection w:val="tbRlV"/>
            <w:vAlign w:val="center"/>
          </w:tcPr>
          <w:p w14:paraId="0BDCB4EE">
            <w:pPr>
              <w:ind w:left="113" w:right="113"/>
              <w:jc w:val="center"/>
              <w:rPr>
                <w:rFonts w:hint="eastAsia" w:ascii="宋体" w:hAnsi="宋体" w:eastAsia="宋体" w:cs="宋体"/>
                <w:sz w:val="20"/>
                <w:szCs w:val="20"/>
              </w:rPr>
            </w:pPr>
            <w:r>
              <w:rPr>
                <w:rFonts w:hint="eastAsia" w:ascii="宋体" w:hAnsi="宋体" w:eastAsia="宋体" w:cs="宋体"/>
                <w:sz w:val="20"/>
                <w:szCs w:val="20"/>
              </w:rPr>
              <w:t>湿式报警阀</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86E49D9">
            <w:pPr>
              <w:rPr>
                <w:rFonts w:hint="eastAsia" w:ascii="宋体" w:hAnsi="宋体" w:eastAsia="宋体" w:cs="宋体"/>
                <w:sz w:val="20"/>
                <w:szCs w:val="20"/>
              </w:rPr>
            </w:pPr>
            <w:r>
              <w:rPr>
                <w:rFonts w:hint="eastAsia" w:ascii="宋体" w:hAnsi="宋体" w:eastAsia="宋体" w:cs="宋体"/>
                <w:sz w:val="20"/>
                <w:szCs w:val="20"/>
              </w:rPr>
              <w:t>湿式报警阀工作时，动作信号反馈到主机状况测试</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625C40B3">
            <w:pPr>
              <w:rPr>
                <w:rFonts w:hint="eastAsia" w:ascii="宋体" w:hAnsi="宋体" w:eastAsia="宋体" w:cs="宋体"/>
                <w:sz w:val="20"/>
                <w:szCs w:val="20"/>
              </w:rPr>
            </w:pPr>
            <w:r>
              <w:rPr>
                <w:rFonts w:hint="eastAsia" w:ascii="宋体" w:hAnsi="宋体" w:eastAsia="宋体" w:cs="宋体"/>
                <w:sz w:val="20"/>
                <w:szCs w:val="20"/>
              </w:rPr>
              <w:t>主机要能够监视到湿式报警阀、进出水阀的动作信号、地址码、相对应的中文信息</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632B5667">
            <w:pPr>
              <w:rPr>
                <w:rFonts w:hint="eastAsia" w:ascii="宋体" w:hAnsi="宋体" w:eastAsia="宋体" w:cs="宋体"/>
                <w:sz w:val="20"/>
                <w:szCs w:val="20"/>
              </w:rPr>
            </w:pPr>
            <w:r>
              <w:rPr>
                <w:rFonts w:hint="eastAsia" w:ascii="宋体" w:hAnsi="宋体" w:eastAsia="宋体" w:cs="宋体"/>
                <w:sz w:val="20"/>
                <w:szCs w:val="20"/>
              </w:rPr>
              <w:t>不合要求每一处扣1分</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08058D41">
            <w:pPr>
              <w:jc w:val="center"/>
              <w:rPr>
                <w:rFonts w:hint="eastAsia" w:ascii="宋体" w:hAnsi="宋体" w:eastAsia="宋体" w:cs="宋体"/>
                <w:b/>
                <w:sz w:val="20"/>
                <w:szCs w:val="20"/>
              </w:rPr>
            </w:pPr>
          </w:p>
        </w:tc>
        <w:tc>
          <w:tcPr>
            <w:tcW w:w="611" w:type="dxa"/>
            <w:tcBorders>
              <w:top w:val="single" w:color="auto" w:sz="4" w:space="0"/>
              <w:left w:val="single" w:color="auto" w:sz="4" w:space="0"/>
              <w:bottom w:val="single" w:color="auto" w:sz="4" w:space="0"/>
              <w:right w:val="single" w:color="auto" w:sz="4" w:space="0"/>
            </w:tcBorders>
            <w:noWrap w:val="0"/>
            <w:vAlign w:val="center"/>
          </w:tcPr>
          <w:p w14:paraId="607673D8">
            <w:pPr>
              <w:jc w:val="center"/>
              <w:rPr>
                <w:rFonts w:hint="eastAsia" w:ascii="宋体" w:hAnsi="宋体" w:eastAsia="宋体" w:cs="宋体"/>
                <w:sz w:val="20"/>
                <w:szCs w:val="20"/>
              </w:rPr>
            </w:pPr>
            <w:r>
              <w:rPr>
                <w:rFonts w:hint="eastAsia" w:ascii="宋体" w:hAnsi="宋体" w:eastAsia="宋体" w:cs="宋体"/>
                <w:b/>
                <w:sz w:val="20"/>
                <w:szCs w:val="20"/>
              </w:rPr>
              <w:t>ⅴ</w:t>
            </w:r>
          </w:p>
        </w:tc>
        <w:tc>
          <w:tcPr>
            <w:tcW w:w="481" w:type="dxa"/>
            <w:tcBorders>
              <w:top w:val="single" w:color="auto" w:sz="4" w:space="0"/>
              <w:left w:val="single" w:color="auto" w:sz="4" w:space="0"/>
              <w:bottom w:val="single" w:color="auto" w:sz="4" w:space="0"/>
              <w:right w:val="single" w:color="auto" w:sz="4" w:space="0"/>
            </w:tcBorders>
            <w:noWrap w:val="0"/>
            <w:vAlign w:val="top"/>
          </w:tcPr>
          <w:p w14:paraId="4C5055CD">
            <w:pPr>
              <w:jc w:val="center"/>
              <w:rPr>
                <w:rFonts w:hint="eastAsia" w:ascii="宋体" w:hAnsi="宋体" w:eastAsia="宋体" w:cs="宋体"/>
                <w:sz w:val="20"/>
                <w:szCs w:val="20"/>
              </w:rPr>
            </w:pPr>
          </w:p>
        </w:tc>
      </w:tr>
      <w:tr w14:paraId="567D0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0" w:hRule="atLeast"/>
          <w:jc w:val="center"/>
        </w:trPr>
        <w:tc>
          <w:tcPr>
            <w:tcW w:w="528" w:type="dxa"/>
            <w:vMerge w:val="continue"/>
            <w:tcBorders>
              <w:left w:val="single" w:color="auto" w:sz="4" w:space="0"/>
              <w:bottom w:val="single" w:color="auto" w:sz="4" w:space="0"/>
              <w:right w:val="single" w:color="auto" w:sz="4" w:space="0"/>
            </w:tcBorders>
            <w:noWrap w:val="0"/>
            <w:vAlign w:val="center"/>
          </w:tcPr>
          <w:p w14:paraId="66351F35">
            <w:pPr>
              <w:widowControl/>
              <w:jc w:val="left"/>
              <w:rPr>
                <w:rFonts w:hint="eastAsia" w:ascii="宋体" w:hAnsi="宋体" w:eastAsia="宋体" w:cs="宋体"/>
                <w:sz w:val="20"/>
                <w:szCs w:val="20"/>
              </w:rPr>
            </w:pPr>
          </w:p>
        </w:tc>
        <w:tc>
          <w:tcPr>
            <w:tcW w:w="528" w:type="dxa"/>
            <w:tcBorders>
              <w:top w:val="single" w:color="auto" w:sz="4" w:space="0"/>
              <w:left w:val="single" w:color="auto" w:sz="4" w:space="0"/>
              <w:bottom w:val="single" w:color="auto" w:sz="4" w:space="0"/>
              <w:right w:val="single" w:color="auto" w:sz="4" w:space="0"/>
            </w:tcBorders>
            <w:noWrap w:val="0"/>
            <w:textDirection w:val="tbRlV"/>
            <w:vAlign w:val="center"/>
          </w:tcPr>
          <w:p w14:paraId="596A6597">
            <w:pPr>
              <w:ind w:left="113" w:right="113"/>
              <w:jc w:val="center"/>
              <w:rPr>
                <w:rFonts w:hint="eastAsia" w:ascii="宋体" w:hAnsi="宋体" w:eastAsia="宋体" w:cs="宋体"/>
                <w:sz w:val="20"/>
                <w:szCs w:val="20"/>
              </w:rPr>
            </w:pPr>
            <w:r>
              <w:rPr>
                <w:rFonts w:hint="eastAsia" w:ascii="宋体" w:hAnsi="宋体" w:eastAsia="宋体" w:cs="宋体"/>
                <w:sz w:val="20"/>
                <w:szCs w:val="20"/>
              </w:rPr>
              <w:t>信号阀</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540D28E">
            <w:pPr>
              <w:rPr>
                <w:rFonts w:hint="eastAsia" w:ascii="宋体" w:hAnsi="宋体" w:eastAsia="宋体" w:cs="宋体"/>
                <w:sz w:val="20"/>
                <w:szCs w:val="20"/>
              </w:rPr>
            </w:pPr>
            <w:r>
              <w:rPr>
                <w:rFonts w:hint="eastAsia" w:ascii="宋体" w:hAnsi="宋体" w:eastAsia="宋体" w:cs="宋体"/>
                <w:sz w:val="20"/>
                <w:szCs w:val="20"/>
              </w:rPr>
              <w:t>信号阀关闭动作时，信号反馈到主机状况</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0EB39387">
            <w:pPr>
              <w:jc w:val="center"/>
              <w:rPr>
                <w:rFonts w:hint="eastAsia" w:ascii="宋体" w:hAnsi="宋体" w:eastAsia="宋体" w:cs="宋体"/>
                <w:sz w:val="20"/>
                <w:szCs w:val="20"/>
              </w:rPr>
            </w:pPr>
            <w:r>
              <w:rPr>
                <w:rFonts w:hint="eastAsia" w:ascii="宋体" w:hAnsi="宋体" w:eastAsia="宋体" w:cs="宋体"/>
                <w:sz w:val="20"/>
                <w:szCs w:val="20"/>
              </w:rPr>
              <w:t>就地关闭信号阀时，主机要能够监视到关阀信号、对应的中继器的地址码、中文信息</w:t>
            </w:r>
          </w:p>
          <w:p w14:paraId="70F6A3B9">
            <w:pPr>
              <w:jc w:val="center"/>
              <w:rPr>
                <w:rFonts w:hint="eastAsia" w:ascii="宋体" w:hAnsi="宋体" w:eastAsia="宋体" w:cs="宋体"/>
                <w:sz w:val="20"/>
                <w:szCs w:val="20"/>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14:paraId="68648684">
            <w:pPr>
              <w:rPr>
                <w:rFonts w:hint="eastAsia" w:ascii="宋体" w:hAnsi="宋体" w:eastAsia="宋体" w:cs="宋体"/>
                <w:sz w:val="20"/>
                <w:szCs w:val="20"/>
              </w:rPr>
            </w:pPr>
            <w:r>
              <w:rPr>
                <w:rFonts w:hint="eastAsia" w:ascii="宋体" w:hAnsi="宋体" w:eastAsia="宋体" w:cs="宋体"/>
                <w:sz w:val="20"/>
                <w:szCs w:val="20"/>
              </w:rPr>
              <w:t>不合要求每一处扣1分</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62488578">
            <w:pPr>
              <w:rPr>
                <w:rFonts w:hint="eastAsia" w:ascii="宋体" w:hAnsi="宋体" w:eastAsia="宋体" w:cs="宋体"/>
                <w:sz w:val="20"/>
                <w:szCs w:val="20"/>
              </w:rPr>
            </w:pPr>
          </w:p>
        </w:tc>
        <w:tc>
          <w:tcPr>
            <w:tcW w:w="611" w:type="dxa"/>
            <w:tcBorders>
              <w:top w:val="single" w:color="auto" w:sz="4" w:space="0"/>
              <w:left w:val="single" w:color="auto" w:sz="4" w:space="0"/>
              <w:bottom w:val="single" w:color="auto" w:sz="4" w:space="0"/>
              <w:right w:val="single" w:color="auto" w:sz="4" w:space="0"/>
            </w:tcBorders>
            <w:noWrap w:val="0"/>
            <w:vAlign w:val="center"/>
          </w:tcPr>
          <w:p w14:paraId="64FAF541">
            <w:pPr>
              <w:jc w:val="center"/>
              <w:rPr>
                <w:rFonts w:hint="eastAsia" w:ascii="宋体" w:hAnsi="宋体" w:eastAsia="宋体" w:cs="宋体"/>
                <w:b/>
                <w:sz w:val="20"/>
                <w:szCs w:val="20"/>
              </w:rPr>
            </w:pPr>
            <w:r>
              <w:rPr>
                <w:rFonts w:hint="eastAsia" w:ascii="宋体" w:hAnsi="宋体" w:eastAsia="宋体" w:cs="宋体"/>
                <w:b/>
                <w:sz w:val="20"/>
                <w:szCs w:val="20"/>
              </w:rPr>
              <w:t>ⅴ</w:t>
            </w:r>
          </w:p>
        </w:tc>
        <w:tc>
          <w:tcPr>
            <w:tcW w:w="481" w:type="dxa"/>
            <w:tcBorders>
              <w:top w:val="single" w:color="auto" w:sz="4" w:space="0"/>
              <w:left w:val="single" w:color="auto" w:sz="4" w:space="0"/>
              <w:bottom w:val="single" w:color="auto" w:sz="4" w:space="0"/>
              <w:right w:val="single" w:color="auto" w:sz="4" w:space="0"/>
            </w:tcBorders>
            <w:noWrap w:val="0"/>
            <w:vAlign w:val="top"/>
          </w:tcPr>
          <w:p w14:paraId="2E766259">
            <w:pPr>
              <w:jc w:val="center"/>
              <w:rPr>
                <w:rFonts w:hint="eastAsia" w:ascii="宋体" w:hAnsi="宋体" w:eastAsia="宋体" w:cs="宋体"/>
                <w:sz w:val="20"/>
                <w:szCs w:val="20"/>
              </w:rPr>
            </w:pPr>
          </w:p>
        </w:tc>
      </w:tr>
      <w:tr w14:paraId="31D2B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0" w:type="auto"/>
            <w:gridSpan w:val="2"/>
            <w:vMerge w:val="restart"/>
            <w:tcBorders>
              <w:top w:val="single" w:color="auto" w:sz="4" w:space="0"/>
              <w:left w:val="single" w:color="auto" w:sz="4" w:space="0"/>
              <w:bottom w:val="single" w:color="auto" w:sz="4" w:space="0"/>
              <w:right w:val="single" w:color="auto" w:sz="4" w:space="0"/>
              <w:tl2br w:val="single" w:color="auto" w:sz="4" w:space="0"/>
            </w:tcBorders>
            <w:noWrap w:val="0"/>
            <w:vAlign w:val="top"/>
          </w:tcPr>
          <w:p w14:paraId="5518F02B">
            <w:pPr>
              <w:jc w:val="center"/>
              <w:rPr>
                <w:rFonts w:hint="eastAsia" w:ascii="宋体" w:hAnsi="宋体" w:eastAsia="宋体" w:cs="宋体"/>
                <w:sz w:val="20"/>
                <w:szCs w:val="20"/>
              </w:rPr>
            </w:pPr>
            <w:r>
              <w:rPr>
                <w:rFonts w:hint="eastAsia" w:ascii="宋体" w:hAnsi="宋体" w:eastAsia="宋体" w:cs="宋体"/>
                <w:sz w:val="20"/>
                <w:szCs w:val="20"/>
              </w:rPr>
              <w:t xml:space="preserve">       分项要求</w:t>
            </w:r>
          </w:p>
          <w:p w14:paraId="46A3DB8D">
            <w:pPr>
              <w:rPr>
                <w:rFonts w:hint="eastAsia" w:ascii="宋体" w:hAnsi="宋体" w:eastAsia="宋体" w:cs="宋体"/>
                <w:sz w:val="20"/>
                <w:szCs w:val="20"/>
              </w:rPr>
            </w:pPr>
            <w:r>
              <w:rPr>
                <w:rFonts w:hint="eastAsia" w:ascii="宋体" w:hAnsi="宋体" w:eastAsia="宋体" w:cs="宋体"/>
                <w:sz w:val="20"/>
                <w:szCs w:val="20"/>
              </w:rPr>
              <w:t>系统分类</w:t>
            </w:r>
          </w:p>
        </w:tc>
        <w:tc>
          <w:tcPr>
            <w:tcW w:w="0" w:type="auto"/>
            <w:vMerge w:val="restart"/>
            <w:tcBorders>
              <w:top w:val="single" w:color="auto" w:sz="4" w:space="0"/>
              <w:left w:val="single" w:color="auto" w:sz="4" w:space="0"/>
              <w:bottom w:val="single" w:color="auto" w:sz="4" w:space="0"/>
              <w:right w:val="single" w:color="auto" w:sz="4" w:space="0"/>
            </w:tcBorders>
            <w:noWrap w:val="0"/>
            <w:vAlign w:val="center"/>
          </w:tcPr>
          <w:p w14:paraId="399304E6">
            <w:pPr>
              <w:jc w:val="center"/>
              <w:rPr>
                <w:rFonts w:hint="eastAsia" w:ascii="宋体" w:hAnsi="宋体" w:eastAsia="宋体" w:cs="宋体"/>
                <w:sz w:val="20"/>
                <w:szCs w:val="20"/>
              </w:rPr>
            </w:pPr>
            <w:r>
              <w:rPr>
                <w:rFonts w:hint="eastAsia" w:ascii="宋体" w:hAnsi="宋体" w:eastAsia="宋体" w:cs="宋体"/>
                <w:sz w:val="20"/>
                <w:szCs w:val="20"/>
              </w:rPr>
              <w:t>维护保养项目</w:t>
            </w:r>
          </w:p>
        </w:tc>
        <w:tc>
          <w:tcPr>
            <w:tcW w:w="3870" w:type="dxa"/>
            <w:vMerge w:val="restart"/>
            <w:tcBorders>
              <w:top w:val="single" w:color="auto" w:sz="4" w:space="0"/>
              <w:left w:val="single" w:color="auto" w:sz="4" w:space="0"/>
              <w:bottom w:val="single" w:color="auto" w:sz="4" w:space="0"/>
              <w:right w:val="single" w:color="auto" w:sz="4" w:space="0"/>
            </w:tcBorders>
            <w:noWrap w:val="0"/>
            <w:vAlign w:val="center"/>
          </w:tcPr>
          <w:p w14:paraId="3B9F243B">
            <w:pPr>
              <w:jc w:val="center"/>
              <w:rPr>
                <w:rFonts w:hint="eastAsia" w:ascii="宋体" w:hAnsi="宋体" w:eastAsia="宋体" w:cs="宋体"/>
                <w:sz w:val="20"/>
                <w:szCs w:val="20"/>
              </w:rPr>
            </w:pPr>
            <w:r>
              <w:rPr>
                <w:rFonts w:hint="eastAsia" w:ascii="宋体" w:hAnsi="宋体" w:eastAsia="宋体" w:cs="宋体"/>
                <w:sz w:val="20"/>
                <w:szCs w:val="20"/>
              </w:rPr>
              <w:t>合格标准</w:t>
            </w:r>
          </w:p>
        </w:tc>
        <w:tc>
          <w:tcPr>
            <w:tcW w:w="1135" w:type="dxa"/>
            <w:vMerge w:val="restart"/>
            <w:tcBorders>
              <w:top w:val="single" w:color="auto" w:sz="4" w:space="0"/>
              <w:left w:val="single" w:color="auto" w:sz="4" w:space="0"/>
              <w:bottom w:val="single" w:color="auto" w:sz="4" w:space="0"/>
              <w:right w:val="single" w:color="auto" w:sz="4" w:space="0"/>
            </w:tcBorders>
            <w:noWrap w:val="0"/>
            <w:vAlign w:val="center"/>
          </w:tcPr>
          <w:p w14:paraId="6590C441">
            <w:pPr>
              <w:jc w:val="center"/>
              <w:rPr>
                <w:rFonts w:hint="eastAsia" w:ascii="宋体" w:hAnsi="宋体" w:eastAsia="宋体" w:cs="宋体"/>
                <w:sz w:val="20"/>
                <w:szCs w:val="20"/>
              </w:rPr>
            </w:pPr>
            <w:r>
              <w:rPr>
                <w:rFonts w:hint="eastAsia" w:ascii="宋体" w:hAnsi="宋体" w:eastAsia="宋体" w:cs="宋体"/>
                <w:sz w:val="20"/>
                <w:szCs w:val="20"/>
              </w:rPr>
              <w:t>扣分标准（参考）</w:t>
            </w:r>
          </w:p>
        </w:tc>
        <w:tc>
          <w:tcPr>
            <w:tcW w:w="1645" w:type="dxa"/>
            <w:gridSpan w:val="3"/>
            <w:tcBorders>
              <w:top w:val="single" w:color="auto" w:sz="4" w:space="0"/>
              <w:left w:val="single" w:color="auto" w:sz="4" w:space="0"/>
              <w:bottom w:val="single" w:color="auto" w:sz="4" w:space="0"/>
              <w:right w:val="single" w:color="auto" w:sz="4" w:space="0"/>
            </w:tcBorders>
            <w:noWrap w:val="0"/>
            <w:vAlign w:val="center"/>
          </w:tcPr>
          <w:p w14:paraId="1683C805">
            <w:pPr>
              <w:jc w:val="center"/>
              <w:rPr>
                <w:rFonts w:hint="eastAsia" w:ascii="宋体" w:hAnsi="宋体" w:eastAsia="宋体" w:cs="宋体"/>
                <w:sz w:val="20"/>
                <w:szCs w:val="20"/>
              </w:rPr>
            </w:pPr>
            <w:r>
              <w:rPr>
                <w:rFonts w:hint="eastAsia" w:ascii="宋体" w:hAnsi="宋体" w:eastAsia="宋体" w:cs="宋体"/>
                <w:sz w:val="20"/>
                <w:szCs w:val="20"/>
              </w:rPr>
              <w:t>工 作 频 次</w:t>
            </w:r>
          </w:p>
        </w:tc>
      </w:tr>
      <w:tr w14:paraId="3D86B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0" w:type="auto"/>
            <w:gridSpan w:val="2"/>
            <w:vMerge w:val="continue"/>
            <w:tcBorders>
              <w:top w:val="single" w:color="auto" w:sz="4" w:space="0"/>
              <w:left w:val="single" w:color="auto" w:sz="4" w:space="0"/>
              <w:bottom w:val="single" w:color="auto" w:sz="4" w:space="0"/>
              <w:right w:val="single" w:color="auto" w:sz="4" w:space="0"/>
              <w:tl2br w:val="single" w:color="auto" w:sz="4" w:space="0"/>
            </w:tcBorders>
            <w:noWrap w:val="0"/>
            <w:vAlign w:val="center"/>
          </w:tcPr>
          <w:p w14:paraId="2A028F46">
            <w:pPr>
              <w:widowControl/>
              <w:jc w:val="left"/>
              <w:rPr>
                <w:rFonts w:hint="eastAsia" w:ascii="宋体" w:hAnsi="宋体" w:eastAsia="宋体" w:cs="宋体"/>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0BF643F">
            <w:pPr>
              <w:widowControl/>
              <w:jc w:val="left"/>
              <w:rPr>
                <w:rFonts w:hint="eastAsia" w:ascii="宋体" w:hAnsi="宋体" w:eastAsia="宋体" w:cs="宋体"/>
                <w:sz w:val="20"/>
                <w:szCs w:val="20"/>
              </w:rPr>
            </w:pPr>
          </w:p>
        </w:tc>
        <w:tc>
          <w:tcPr>
            <w:tcW w:w="3870" w:type="dxa"/>
            <w:vMerge w:val="continue"/>
            <w:tcBorders>
              <w:top w:val="single" w:color="auto" w:sz="4" w:space="0"/>
              <w:left w:val="single" w:color="auto" w:sz="4" w:space="0"/>
              <w:bottom w:val="single" w:color="auto" w:sz="4" w:space="0"/>
              <w:right w:val="single" w:color="auto" w:sz="4" w:space="0"/>
            </w:tcBorders>
            <w:noWrap w:val="0"/>
            <w:vAlign w:val="center"/>
          </w:tcPr>
          <w:p w14:paraId="0213C091">
            <w:pPr>
              <w:widowControl/>
              <w:jc w:val="left"/>
              <w:rPr>
                <w:rFonts w:hint="eastAsia" w:ascii="宋体" w:hAnsi="宋体" w:eastAsia="宋体" w:cs="宋体"/>
                <w:sz w:val="20"/>
                <w:szCs w:val="20"/>
              </w:rPr>
            </w:pPr>
          </w:p>
        </w:tc>
        <w:tc>
          <w:tcPr>
            <w:tcW w:w="1135" w:type="dxa"/>
            <w:vMerge w:val="continue"/>
            <w:tcBorders>
              <w:top w:val="single" w:color="auto" w:sz="4" w:space="0"/>
              <w:left w:val="single" w:color="auto" w:sz="4" w:space="0"/>
              <w:bottom w:val="single" w:color="auto" w:sz="4" w:space="0"/>
              <w:right w:val="single" w:color="auto" w:sz="4" w:space="0"/>
            </w:tcBorders>
            <w:noWrap w:val="0"/>
            <w:vAlign w:val="center"/>
          </w:tcPr>
          <w:p w14:paraId="49F67DFC">
            <w:pPr>
              <w:widowControl/>
              <w:jc w:val="left"/>
              <w:rPr>
                <w:rFonts w:hint="eastAsia" w:ascii="宋体" w:hAnsi="宋体" w:eastAsia="宋体" w:cs="宋体"/>
                <w:sz w:val="20"/>
                <w:szCs w:val="20"/>
              </w:rPr>
            </w:pPr>
          </w:p>
        </w:tc>
        <w:tc>
          <w:tcPr>
            <w:tcW w:w="553" w:type="dxa"/>
            <w:tcBorders>
              <w:top w:val="single" w:color="auto" w:sz="4" w:space="0"/>
              <w:left w:val="single" w:color="auto" w:sz="4" w:space="0"/>
              <w:bottom w:val="single" w:color="auto" w:sz="4" w:space="0"/>
              <w:right w:val="single" w:color="auto" w:sz="4" w:space="0"/>
            </w:tcBorders>
            <w:noWrap w:val="0"/>
            <w:vAlign w:val="center"/>
          </w:tcPr>
          <w:p w14:paraId="2C2E41B3">
            <w:pPr>
              <w:jc w:val="center"/>
              <w:rPr>
                <w:rFonts w:hint="eastAsia" w:ascii="宋体" w:hAnsi="宋体" w:eastAsia="宋体" w:cs="宋体"/>
                <w:sz w:val="20"/>
                <w:szCs w:val="20"/>
              </w:rPr>
            </w:pPr>
            <w:r>
              <w:rPr>
                <w:rFonts w:hint="eastAsia" w:ascii="宋体" w:hAnsi="宋体" w:eastAsia="宋体" w:cs="宋体"/>
                <w:sz w:val="20"/>
                <w:szCs w:val="20"/>
              </w:rPr>
              <w:t>周</w:t>
            </w:r>
          </w:p>
        </w:tc>
        <w:tc>
          <w:tcPr>
            <w:tcW w:w="611" w:type="dxa"/>
            <w:tcBorders>
              <w:top w:val="single" w:color="auto" w:sz="4" w:space="0"/>
              <w:left w:val="single" w:color="auto" w:sz="4" w:space="0"/>
              <w:bottom w:val="single" w:color="auto" w:sz="4" w:space="0"/>
              <w:right w:val="single" w:color="auto" w:sz="4" w:space="0"/>
            </w:tcBorders>
            <w:noWrap w:val="0"/>
            <w:vAlign w:val="center"/>
          </w:tcPr>
          <w:p w14:paraId="29CEE3DA">
            <w:pPr>
              <w:jc w:val="center"/>
              <w:rPr>
                <w:rFonts w:hint="eastAsia" w:ascii="宋体" w:hAnsi="宋体" w:eastAsia="宋体" w:cs="宋体"/>
                <w:sz w:val="20"/>
                <w:szCs w:val="20"/>
              </w:rPr>
            </w:pPr>
            <w:r>
              <w:rPr>
                <w:rFonts w:hint="eastAsia" w:ascii="宋体" w:hAnsi="宋体" w:eastAsia="宋体" w:cs="宋体"/>
                <w:sz w:val="20"/>
                <w:szCs w:val="20"/>
              </w:rPr>
              <w:t>月</w:t>
            </w:r>
          </w:p>
        </w:tc>
        <w:tc>
          <w:tcPr>
            <w:tcW w:w="481" w:type="dxa"/>
            <w:tcBorders>
              <w:top w:val="single" w:color="auto" w:sz="4" w:space="0"/>
              <w:left w:val="single" w:color="auto" w:sz="4" w:space="0"/>
              <w:bottom w:val="single" w:color="auto" w:sz="4" w:space="0"/>
              <w:right w:val="single" w:color="auto" w:sz="4" w:space="0"/>
            </w:tcBorders>
            <w:noWrap w:val="0"/>
            <w:vAlign w:val="center"/>
          </w:tcPr>
          <w:p w14:paraId="3B6EFA22">
            <w:pPr>
              <w:jc w:val="center"/>
              <w:rPr>
                <w:rFonts w:hint="eastAsia" w:ascii="宋体" w:hAnsi="宋体" w:eastAsia="宋体" w:cs="宋体"/>
                <w:sz w:val="20"/>
                <w:szCs w:val="20"/>
              </w:rPr>
            </w:pPr>
            <w:r>
              <w:rPr>
                <w:rFonts w:hint="eastAsia" w:ascii="宋体" w:hAnsi="宋体" w:eastAsia="宋体" w:cs="宋体"/>
                <w:sz w:val="20"/>
                <w:szCs w:val="20"/>
              </w:rPr>
              <w:t>季</w:t>
            </w:r>
          </w:p>
        </w:tc>
      </w:tr>
      <w:tr w14:paraId="6794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8" w:hRule="atLeast"/>
          <w:jc w:val="center"/>
        </w:trPr>
        <w:tc>
          <w:tcPr>
            <w:tcW w:w="528"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34C05A6A">
            <w:pPr>
              <w:ind w:left="113" w:right="113"/>
              <w:jc w:val="both"/>
              <w:rPr>
                <w:rFonts w:hint="eastAsia" w:ascii="宋体" w:hAnsi="宋体" w:eastAsia="宋体" w:cs="宋体"/>
                <w:sz w:val="20"/>
                <w:szCs w:val="20"/>
              </w:rPr>
            </w:pPr>
            <w:r>
              <w:rPr>
                <w:rFonts w:hint="eastAsia" w:ascii="宋体" w:hAnsi="宋体" w:eastAsia="宋体" w:cs="宋体"/>
                <w:sz w:val="20"/>
                <w:szCs w:val="20"/>
              </w:rPr>
              <w:t>加压送风系统</w:t>
            </w:r>
            <w:r>
              <w:rPr>
                <w:rFonts w:hint="eastAsia" w:ascii="宋体" w:hAnsi="宋体" w:cs="宋体"/>
                <w:sz w:val="20"/>
                <w:szCs w:val="20"/>
                <w:lang w:eastAsia="zh-CN"/>
              </w:rPr>
              <w:t>（</w:t>
            </w:r>
            <w:r>
              <w:rPr>
                <w:rFonts w:hint="eastAsia" w:ascii="宋体" w:hAnsi="宋体" w:cs="宋体"/>
                <w:sz w:val="20"/>
                <w:szCs w:val="20"/>
                <w:lang w:val="en-US" w:eastAsia="zh-CN"/>
              </w:rPr>
              <w:t>分值10分</w:t>
            </w:r>
            <w:r>
              <w:rPr>
                <w:rFonts w:hint="eastAsia" w:ascii="宋体" w:hAnsi="宋体" w:cs="宋体"/>
                <w:sz w:val="20"/>
                <w:szCs w:val="20"/>
                <w:lang w:eastAsia="zh-CN"/>
              </w:rPr>
              <w:t>）</w:t>
            </w:r>
          </w:p>
        </w:tc>
        <w:tc>
          <w:tcPr>
            <w:tcW w:w="528"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526BA763">
            <w:pPr>
              <w:widowControl/>
              <w:spacing w:before="100" w:beforeAutospacing="1" w:after="100" w:afterAutospacing="1"/>
              <w:jc w:val="center"/>
              <w:rPr>
                <w:rFonts w:hint="eastAsia" w:ascii="宋体" w:hAnsi="宋体" w:eastAsia="宋体" w:cs="宋体"/>
                <w:kern w:val="0"/>
                <w:sz w:val="20"/>
                <w:szCs w:val="20"/>
              </w:rPr>
            </w:pPr>
            <w:r>
              <w:rPr>
                <w:rFonts w:hint="eastAsia" w:ascii="宋体" w:hAnsi="宋体" w:eastAsia="宋体" w:cs="宋体"/>
                <w:kern w:val="0"/>
                <w:sz w:val="20"/>
                <w:szCs w:val="20"/>
              </w:rPr>
              <w:t>加压送风机</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21FDFC9">
            <w:pPr>
              <w:rPr>
                <w:rFonts w:hint="eastAsia" w:ascii="宋体" w:hAnsi="宋体" w:eastAsia="宋体" w:cs="宋体"/>
                <w:sz w:val="20"/>
                <w:szCs w:val="20"/>
              </w:rPr>
            </w:pPr>
            <w:r>
              <w:rPr>
                <w:rFonts w:hint="eastAsia" w:ascii="宋体" w:hAnsi="宋体" w:eastAsia="宋体" w:cs="宋体"/>
                <w:sz w:val="20"/>
                <w:szCs w:val="20"/>
              </w:rPr>
              <w:t>消防中心联动柜控制风机动作状况</w:t>
            </w:r>
          </w:p>
        </w:tc>
        <w:tc>
          <w:tcPr>
            <w:tcW w:w="3870" w:type="dxa"/>
            <w:tcBorders>
              <w:top w:val="single" w:color="auto" w:sz="4" w:space="0"/>
              <w:left w:val="single" w:color="auto" w:sz="4" w:space="0"/>
              <w:bottom w:val="single" w:color="auto" w:sz="4" w:space="0"/>
              <w:right w:val="single" w:color="auto" w:sz="4" w:space="0"/>
            </w:tcBorders>
            <w:noWrap w:val="0"/>
            <w:vAlign w:val="top"/>
          </w:tcPr>
          <w:p w14:paraId="031E13C7">
            <w:pPr>
              <w:rPr>
                <w:rFonts w:hint="eastAsia" w:ascii="宋体" w:hAnsi="宋体" w:eastAsia="宋体" w:cs="宋体"/>
                <w:sz w:val="20"/>
                <w:szCs w:val="20"/>
              </w:rPr>
            </w:pPr>
            <w:r>
              <w:rPr>
                <w:rFonts w:hint="eastAsia" w:ascii="宋体" w:hAnsi="宋体" w:eastAsia="宋体" w:cs="宋体"/>
                <w:sz w:val="20"/>
                <w:szCs w:val="20"/>
              </w:rPr>
              <w:t>要能够控制风机动作，同时主机显示所动作风机的中继器系统号、地址码、对应的中文信息。风机工作状态要正常</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1CB13A5B">
            <w:pPr>
              <w:rPr>
                <w:rFonts w:hint="eastAsia" w:ascii="宋体" w:hAnsi="宋体" w:eastAsia="宋体" w:cs="宋体"/>
                <w:sz w:val="20"/>
                <w:szCs w:val="20"/>
              </w:rPr>
            </w:pPr>
            <w:r>
              <w:rPr>
                <w:rFonts w:hint="eastAsia" w:ascii="宋体" w:hAnsi="宋体" w:eastAsia="宋体" w:cs="宋体"/>
                <w:sz w:val="20"/>
                <w:szCs w:val="20"/>
              </w:rPr>
              <w:t>不合格每一处扣1分</w:t>
            </w:r>
          </w:p>
        </w:tc>
        <w:tc>
          <w:tcPr>
            <w:tcW w:w="553" w:type="dxa"/>
            <w:tcBorders>
              <w:top w:val="single" w:color="auto" w:sz="4" w:space="0"/>
              <w:left w:val="single" w:color="auto" w:sz="4" w:space="0"/>
              <w:bottom w:val="single" w:color="auto" w:sz="4" w:space="0"/>
              <w:right w:val="single" w:color="auto" w:sz="4" w:space="0"/>
            </w:tcBorders>
            <w:noWrap w:val="0"/>
            <w:vAlign w:val="top"/>
          </w:tcPr>
          <w:p w14:paraId="40F55FFB">
            <w:pPr>
              <w:jc w:val="center"/>
              <w:rPr>
                <w:rFonts w:hint="eastAsia" w:ascii="宋体" w:hAnsi="宋体" w:eastAsia="宋体" w:cs="宋体"/>
                <w:sz w:val="20"/>
                <w:szCs w:val="20"/>
              </w:rPr>
            </w:pPr>
          </w:p>
        </w:tc>
        <w:tc>
          <w:tcPr>
            <w:tcW w:w="611" w:type="dxa"/>
            <w:tcBorders>
              <w:top w:val="single" w:color="auto" w:sz="4" w:space="0"/>
              <w:left w:val="single" w:color="auto" w:sz="4" w:space="0"/>
              <w:bottom w:val="single" w:color="auto" w:sz="4" w:space="0"/>
              <w:right w:val="single" w:color="auto" w:sz="4" w:space="0"/>
            </w:tcBorders>
            <w:noWrap w:val="0"/>
            <w:vAlign w:val="center"/>
          </w:tcPr>
          <w:p w14:paraId="31E616E6">
            <w:pPr>
              <w:jc w:val="center"/>
              <w:rPr>
                <w:rFonts w:hint="eastAsia" w:ascii="宋体" w:hAnsi="宋体" w:eastAsia="宋体" w:cs="宋体"/>
                <w:b/>
                <w:sz w:val="20"/>
                <w:szCs w:val="20"/>
              </w:rPr>
            </w:pPr>
            <w:r>
              <w:rPr>
                <w:rFonts w:hint="eastAsia" w:ascii="宋体" w:hAnsi="宋体" w:eastAsia="宋体" w:cs="宋体"/>
                <w:b/>
                <w:sz w:val="20"/>
                <w:szCs w:val="20"/>
              </w:rPr>
              <w:t>ⅴ</w:t>
            </w:r>
          </w:p>
        </w:tc>
        <w:tc>
          <w:tcPr>
            <w:tcW w:w="481" w:type="dxa"/>
            <w:tcBorders>
              <w:top w:val="single" w:color="auto" w:sz="4" w:space="0"/>
              <w:left w:val="single" w:color="auto" w:sz="4" w:space="0"/>
              <w:bottom w:val="single" w:color="auto" w:sz="4" w:space="0"/>
              <w:right w:val="single" w:color="auto" w:sz="4" w:space="0"/>
            </w:tcBorders>
            <w:noWrap w:val="0"/>
            <w:vAlign w:val="top"/>
          </w:tcPr>
          <w:p w14:paraId="7CF9A4A9">
            <w:pPr>
              <w:jc w:val="center"/>
              <w:rPr>
                <w:rFonts w:hint="eastAsia" w:ascii="宋体" w:hAnsi="宋体" w:eastAsia="宋体" w:cs="宋体"/>
                <w:sz w:val="20"/>
                <w:szCs w:val="20"/>
              </w:rPr>
            </w:pPr>
          </w:p>
        </w:tc>
      </w:tr>
      <w:tr w14:paraId="002FE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Borders>
              <w:top w:val="single" w:color="auto" w:sz="4" w:space="0"/>
              <w:left w:val="single" w:color="auto" w:sz="4" w:space="0"/>
              <w:bottom w:val="single" w:color="auto" w:sz="4" w:space="0"/>
              <w:right w:val="single" w:color="auto" w:sz="4" w:space="0"/>
            </w:tcBorders>
            <w:noWrap w:val="0"/>
            <w:vAlign w:val="center"/>
          </w:tcPr>
          <w:p w14:paraId="1CAE7477">
            <w:pPr>
              <w:widowControl/>
              <w:jc w:val="left"/>
              <w:rPr>
                <w:rFonts w:hint="eastAsia" w:ascii="宋体" w:hAnsi="宋体" w:eastAsia="宋体" w:cs="宋体"/>
                <w:sz w:val="20"/>
                <w:szCs w:val="20"/>
              </w:rPr>
            </w:pPr>
          </w:p>
        </w:tc>
        <w:tc>
          <w:tcPr>
            <w:tcW w:w="528" w:type="dxa"/>
            <w:vMerge w:val="continue"/>
            <w:tcBorders>
              <w:top w:val="single" w:color="auto" w:sz="4" w:space="0"/>
              <w:left w:val="single" w:color="auto" w:sz="4" w:space="0"/>
              <w:bottom w:val="single" w:color="auto" w:sz="4" w:space="0"/>
              <w:right w:val="single" w:color="auto" w:sz="4" w:space="0"/>
            </w:tcBorders>
            <w:noWrap w:val="0"/>
            <w:vAlign w:val="center"/>
          </w:tcPr>
          <w:p w14:paraId="27D6EA41">
            <w:pPr>
              <w:widowControl/>
              <w:jc w:val="left"/>
              <w:rPr>
                <w:rFonts w:hint="eastAsia" w:ascii="宋体" w:hAnsi="宋体" w:eastAsia="宋体" w:cs="宋体"/>
                <w:kern w:val="0"/>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436D017">
            <w:pPr>
              <w:rPr>
                <w:rFonts w:hint="eastAsia" w:ascii="宋体" w:hAnsi="宋体" w:eastAsia="宋体" w:cs="宋体"/>
                <w:sz w:val="20"/>
                <w:szCs w:val="20"/>
              </w:rPr>
            </w:pPr>
            <w:r>
              <w:rPr>
                <w:rFonts w:hint="eastAsia" w:ascii="宋体" w:hAnsi="宋体" w:eastAsia="宋体" w:cs="宋体"/>
                <w:sz w:val="20"/>
                <w:szCs w:val="20"/>
              </w:rPr>
              <w:t>就地手动启动风机，信号反馈状况</w:t>
            </w:r>
          </w:p>
        </w:tc>
        <w:tc>
          <w:tcPr>
            <w:tcW w:w="3870" w:type="dxa"/>
            <w:tcBorders>
              <w:top w:val="single" w:color="auto" w:sz="4" w:space="0"/>
              <w:left w:val="single" w:color="auto" w:sz="4" w:space="0"/>
              <w:bottom w:val="single" w:color="auto" w:sz="4" w:space="0"/>
              <w:right w:val="single" w:color="auto" w:sz="4" w:space="0"/>
            </w:tcBorders>
            <w:noWrap w:val="0"/>
            <w:vAlign w:val="top"/>
          </w:tcPr>
          <w:p w14:paraId="2E928CDE">
            <w:pPr>
              <w:spacing w:line="2" w:lineRule="atLeast"/>
              <w:rPr>
                <w:rFonts w:hint="eastAsia" w:ascii="宋体" w:hAnsi="宋体" w:eastAsia="宋体" w:cs="宋体"/>
                <w:sz w:val="20"/>
                <w:szCs w:val="20"/>
              </w:rPr>
            </w:pPr>
            <w:r>
              <w:rPr>
                <w:rFonts w:hint="eastAsia" w:ascii="宋体" w:hAnsi="宋体" w:eastAsia="宋体" w:cs="宋体"/>
                <w:sz w:val="20"/>
                <w:szCs w:val="20"/>
              </w:rPr>
              <w:t>就地动作风机，主机发出声音报警信号，同时显示所动作风机中继器的系统号、地址号、中文信息</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2C5C7530">
            <w:pPr>
              <w:spacing w:line="2" w:lineRule="atLeast"/>
              <w:rPr>
                <w:rFonts w:hint="eastAsia" w:ascii="宋体" w:hAnsi="宋体" w:eastAsia="宋体" w:cs="宋体"/>
                <w:sz w:val="20"/>
                <w:szCs w:val="20"/>
              </w:rPr>
            </w:pPr>
            <w:r>
              <w:rPr>
                <w:rFonts w:hint="eastAsia" w:ascii="宋体" w:hAnsi="宋体" w:eastAsia="宋体" w:cs="宋体"/>
                <w:sz w:val="20"/>
                <w:szCs w:val="20"/>
              </w:rPr>
              <w:t>不合格每一处扣1分</w:t>
            </w:r>
          </w:p>
        </w:tc>
        <w:tc>
          <w:tcPr>
            <w:tcW w:w="553" w:type="dxa"/>
            <w:tcBorders>
              <w:top w:val="single" w:color="auto" w:sz="4" w:space="0"/>
              <w:left w:val="single" w:color="auto" w:sz="4" w:space="0"/>
              <w:bottom w:val="single" w:color="auto" w:sz="4" w:space="0"/>
              <w:right w:val="single" w:color="auto" w:sz="4" w:space="0"/>
            </w:tcBorders>
            <w:noWrap w:val="0"/>
            <w:vAlign w:val="top"/>
          </w:tcPr>
          <w:p w14:paraId="5B1E414B">
            <w:pPr>
              <w:jc w:val="center"/>
              <w:rPr>
                <w:rFonts w:hint="eastAsia" w:ascii="宋体" w:hAnsi="宋体" w:eastAsia="宋体" w:cs="宋体"/>
                <w:sz w:val="20"/>
                <w:szCs w:val="20"/>
              </w:rPr>
            </w:pPr>
          </w:p>
        </w:tc>
        <w:tc>
          <w:tcPr>
            <w:tcW w:w="611" w:type="dxa"/>
            <w:tcBorders>
              <w:top w:val="single" w:color="auto" w:sz="4" w:space="0"/>
              <w:left w:val="single" w:color="auto" w:sz="4" w:space="0"/>
              <w:bottom w:val="single" w:color="auto" w:sz="4" w:space="0"/>
              <w:right w:val="single" w:color="auto" w:sz="4" w:space="0"/>
            </w:tcBorders>
            <w:noWrap w:val="0"/>
            <w:vAlign w:val="center"/>
          </w:tcPr>
          <w:p w14:paraId="28E719C7">
            <w:pPr>
              <w:jc w:val="center"/>
              <w:rPr>
                <w:rFonts w:hint="eastAsia" w:ascii="宋体" w:hAnsi="宋体" w:eastAsia="宋体" w:cs="宋体"/>
                <w:b/>
                <w:sz w:val="20"/>
                <w:szCs w:val="20"/>
              </w:rPr>
            </w:pPr>
            <w:r>
              <w:rPr>
                <w:rFonts w:hint="eastAsia" w:ascii="宋体" w:hAnsi="宋体" w:eastAsia="宋体" w:cs="宋体"/>
                <w:b/>
                <w:sz w:val="20"/>
                <w:szCs w:val="20"/>
              </w:rPr>
              <w:t>ⅴ</w:t>
            </w:r>
          </w:p>
        </w:tc>
        <w:tc>
          <w:tcPr>
            <w:tcW w:w="481" w:type="dxa"/>
            <w:tcBorders>
              <w:top w:val="single" w:color="auto" w:sz="4" w:space="0"/>
              <w:left w:val="single" w:color="auto" w:sz="4" w:space="0"/>
              <w:bottom w:val="single" w:color="auto" w:sz="4" w:space="0"/>
              <w:right w:val="single" w:color="auto" w:sz="4" w:space="0"/>
            </w:tcBorders>
            <w:noWrap w:val="0"/>
            <w:vAlign w:val="top"/>
          </w:tcPr>
          <w:p w14:paraId="36229C1D">
            <w:pPr>
              <w:jc w:val="center"/>
              <w:rPr>
                <w:rFonts w:hint="eastAsia" w:ascii="宋体" w:hAnsi="宋体" w:eastAsia="宋体" w:cs="宋体"/>
                <w:sz w:val="20"/>
                <w:szCs w:val="20"/>
              </w:rPr>
            </w:pPr>
          </w:p>
        </w:tc>
      </w:tr>
      <w:tr w14:paraId="7B29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6" w:hRule="atLeast"/>
          <w:jc w:val="center"/>
        </w:trPr>
        <w:tc>
          <w:tcPr>
            <w:tcW w:w="528" w:type="dxa"/>
            <w:vMerge w:val="continue"/>
            <w:tcBorders>
              <w:top w:val="single" w:color="auto" w:sz="4" w:space="0"/>
              <w:left w:val="single" w:color="auto" w:sz="4" w:space="0"/>
              <w:bottom w:val="single" w:color="auto" w:sz="4" w:space="0"/>
              <w:right w:val="single" w:color="auto" w:sz="4" w:space="0"/>
            </w:tcBorders>
            <w:noWrap w:val="0"/>
            <w:vAlign w:val="center"/>
          </w:tcPr>
          <w:p w14:paraId="2AF6B944">
            <w:pPr>
              <w:widowControl/>
              <w:jc w:val="left"/>
              <w:rPr>
                <w:rFonts w:hint="eastAsia" w:ascii="宋体" w:hAnsi="宋体" w:eastAsia="宋体" w:cs="宋体"/>
                <w:sz w:val="20"/>
                <w:szCs w:val="20"/>
              </w:rPr>
            </w:pPr>
          </w:p>
        </w:tc>
        <w:tc>
          <w:tcPr>
            <w:tcW w:w="528"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61E5903E">
            <w:pPr>
              <w:widowControl/>
              <w:ind w:left="113" w:right="113"/>
              <w:jc w:val="center"/>
              <w:rPr>
                <w:rFonts w:hint="eastAsia" w:ascii="宋体" w:hAnsi="宋体" w:eastAsia="宋体" w:cs="宋体"/>
                <w:sz w:val="20"/>
                <w:szCs w:val="20"/>
              </w:rPr>
            </w:pPr>
            <w:r>
              <w:rPr>
                <w:rFonts w:hint="eastAsia" w:ascii="宋体" w:hAnsi="宋体" w:eastAsia="宋体" w:cs="宋体"/>
                <w:sz w:val="20"/>
                <w:szCs w:val="20"/>
              </w:rPr>
              <w:t>送风阀</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2202E88">
            <w:pPr>
              <w:rPr>
                <w:rFonts w:hint="eastAsia" w:ascii="宋体" w:hAnsi="宋体" w:eastAsia="宋体" w:cs="宋体"/>
                <w:sz w:val="20"/>
                <w:szCs w:val="20"/>
              </w:rPr>
            </w:pPr>
            <w:r>
              <w:rPr>
                <w:rFonts w:hint="eastAsia" w:ascii="宋体" w:hAnsi="宋体" w:eastAsia="宋体" w:cs="宋体"/>
                <w:sz w:val="20"/>
                <w:szCs w:val="20"/>
              </w:rPr>
              <w:t>就地位置手动开启风阀</w:t>
            </w:r>
          </w:p>
        </w:tc>
        <w:tc>
          <w:tcPr>
            <w:tcW w:w="3870" w:type="dxa"/>
            <w:tcBorders>
              <w:top w:val="single" w:color="auto" w:sz="4" w:space="0"/>
              <w:left w:val="single" w:color="auto" w:sz="4" w:space="0"/>
              <w:bottom w:val="single" w:color="auto" w:sz="4" w:space="0"/>
              <w:right w:val="single" w:color="auto" w:sz="4" w:space="0"/>
            </w:tcBorders>
            <w:noWrap w:val="0"/>
            <w:vAlign w:val="top"/>
          </w:tcPr>
          <w:p w14:paraId="262392D3">
            <w:pPr>
              <w:rPr>
                <w:rFonts w:hint="eastAsia" w:ascii="宋体" w:hAnsi="宋体" w:eastAsia="宋体" w:cs="宋体"/>
                <w:sz w:val="20"/>
                <w:szCs w:val="20"/>
              </w:rPr>
            </w:pPr>
            <w:r>
              <w:rPr>
                <w:rFonts w:hint="eastAsia" w:ascii="宋体" w:hAnsi="宋体" w:eastAsia="宋体" w:cs="宋体"/>
                <w:sz w:val="20"/>
                <w:szCs w:val="20"/>
              </w:rPr>
              <w:t>主机发出报警信号，同时显示相应信息。连动设置自动状态时，能自动启动对应点的风机</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59D4D74E">
            <w:pPr>
              <w:rPr>
                <w:rFonts w:hint="eastAsia" w:ascii="宋体" w:hAnsi="宋体" w:eastAsia="宋体" w:cs="宋体"/>
                <w:sz w:val="20"/>
                <w:szCs w:val="20"/>
              </w:rPr>
            </w:pPr>
            <w:r>
              <w:rPr>
                <w:rFonts w:hint="eastAsia" w:ascii="宋体" w:hAnsi="宋体" w:eastAsia="宋体" w:cs="宋体"/>
                <w:sz w:val="20"/>
                <w:szCs w:val="20"/>
              </w:rPr>
              <w:t>不合格每一处扣0.5分</w:t>
            </w:r>
          </w:p>
        </w:tc>
        <w:tc>
          <w:tcPr>
            <w:tcW w:w="553" w:type="dxa"/>
            <w:tcBorders>
              <w:top w:val="single" w:color="auto" w:sz="4" w:space="0"/>
              <w:left w:val="single" w:color="auto" w:sz="4" w:space="0"/>
              <w:bottom w:val="single" w:color="auto" w:sz="4" w:space="0"/>
              <w:right w:val="single" w:color="auto" w:sz="4" w:space="0"/>
            </w:tcBorders>
            <w:noWrap w:val="0"/>
            <w:vAlign w:val="top"/>
          </w:tcPr>
          <w:p w14:paraId="7FB49301">
            <w:pPr>
              <w:jc w:val="center"/>
              <w:rPr>
                <w:rFonts w:hint="eastAsia" w:ascii="宋体" w:hAnsi="宋体" w:eastAsia="宋体" w:cs="宋体"/>
                <w:sz w:val="20"/>
                <w:szCs w:val="20"/>
              </w:rPr>
            </w:pPr>
          </w:p>
        </w:tc>
        <w:tc>
          <w:tcPr>
            <w:tcW w:w="611" w:type="dxa"/>
            <w:tcBorders>
              <w:top w:val="single" w:color="auto" w:sz="4" w:space="0"/>
              <w:left w:val="single" w:color="auto" w:sz="4" w:space="0"/>
              <w:bottom w:val="single" w:color="auto" w:sz="4" w:space="0"/>
              <w:right w:val="single" w:color="auto" w:sz="4" w:space="0"/>
            </w:tcBorders>
            <w:noWrap w:val="0"/>
            <w:vAlign w:val="center"/>
          </w:tcPr>
          <w:p w14:paraId="1BA9C2CF">
            <w:pPr>
              <w:jc w:val="center"/>
              <w:rPr>
                <w:rFonts w:hint="eastAsia" w:ascii="宋体" w:hAnsi="宋体" w:eastAsia="宋体" w:cs="宋体"/>
                <w:b/>
                <w:sz w:val="20"/>
                <w:szCs w:val="20"/>
              </w:rPr>
            </w:pPr>
            <w:r>
              <w:rPr>
                <w:rFonts w:hint="eastAsia" w:ascii="宋体" w:hAnsi="宋体" w:eastAsia="宋体" w:cs="宋体"/>
                <w:b/>
                <w:sz w:val="20"/>
                <w:szCs w:val="20"/>
              </w:rPr>
              <w:t>ⅴ</w:t>
            </w:r>
          </w:p>
        </w:tc>
        <w:tc>
          <w:tcPr>
            <w:tcW w:w="481" w:type="dxa"/>
            <w:tcBorders>
              <w:top w:val="single" w:color="auto" w:sz="4" w:space="0"/>
              <w:left w:val="single" w:color="auto" w:sz="4" w:space="0"/>
              <w:bottom w:val="single" w:color="auto" w:sz="4" w:space="0"/>
              <w:right w:val="single" w:color="auto" w:sz="4" w:space="0"/>
            </w:tcBorders>
            <w:noWrap w:val="0"/>
            <w:vAlign w:val="top"/>
          </w:tcPr>
          <w:p w14:paraId="78BC07BC">
            <w:pPr>
              <w:jc w:val="center"/>
              <w:rPr>
                <w:rFonts w:hint="eastAsia" w:ascii="宋体" w:hAnsi="宋体" w:eastAsia="宋体" w:cs="宋体"/>
                <w:sz w:val="20"/>
                <w:szCs w:val="20"/>
              </w:rPr>
            </w:pPr>
          </w:p>
        </w:tc>
      </w:tr>
      <w:tr w14:paraId="49BAC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8" w:hRule="atLeast"/>
          <w:jc w:val="center"/>
        </w:trPr>
        <w:tc>
          <w:tcPr>
            <w:tcW w:w="528" w:type="dxa"/>
            <w:vMerge w:val="continue"/>
            <w:tcBorders>
              <w:top w:val="single" w:color="auto" w:sz="4" w:space="0"/>
              <w:left w:val="single" w:color="auto" w:sz="4" w:space="0"/>
              <w:bottom w:val="single" w:color="auto" w:sz="4" w:space="0"/>
              <w:right w:val="single" w:color="auto" w:sz="4" w:space="0"/>
            </w:tcBorders>
            <w:noWrap w:val="0"/>
            <w:vAlign w:val="center"/>
          </w:tcPr>
          <w:p w14:paraId="0B6CD9E6">
            <w:pPr>
              <w:widowControl/>
              <w:jc w:val="left"/>
              <w:rPr>
                <w:rFonts w:hint="eastAsia" w:ascii="宋体" w:hAnsi="宋体" w:eastAsia="宋体" w:cs="宋体"/>
                <w:sz w:val="20"/>
                <w:szCs w:val="20"/>
              </w:rPr>
            </w:pPr>
          </w:p>
        </w:tc>
        <w:tc>
          <w:tcPr>
            <w:tcW w:w="528" w:type="dxa"/>
            <w:vMerge w:val="continue"/>
            <w:tcBorders>
              <w:top w:val="single" w:color="auto" w:sz="4" w:space="0"/>
              <w:left w:val="single" w:color="auto" w:sz="4" w:space="0"/>
              <w:bottom w:val="single" w:color="auto" w:sz="4" w:space="0"/>
              <w:right w:val="single" w:color="auto" w:sz="4" w:space="0"/>
            </w:tcBorders>
            <w:noWrap w:val="0"/>
            <w:vAlign w:val="center"/>
          </w:tcPr>
          <w:p w14:paraId="211D00EC">
            <w:pPr>
              <w:widowControl/>
              <w:jc w:val="left"/>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41D4B5B">
            <w:pPr>
              <w:rPr>
                <w:rFonts w:hint="eastAsia" w:ascii="宋体" w:hAnsi="宋体" w:eastAsia="宋体" w:cs="宋体"/>
                <w:sz w:val="20"/>
                <w:szCs w:val="20"/>
              </w:rPr>
            </w:pPr>
            <w:r>
              <w:rPr>
                <w:rFonts w:hint="eastAsia" w:ascii="宋体" w:hAnsi="宋体" w:eastAsia="宋体" w:cs="宋体"/>
                <w:sz w:val="20"/>
                <w:szCs w:val="20"/>
              </w:rPr>
              <w:t>送风阀机械传动部件状况</w:t>
            </w:r>
          </w:p>
        </w:tc>
        <w:tc>
          <w:tcPr>
            <w:tcW w:w="3870" w:type="dxa"/>
            <w:tcBorders>
              <w:top w:val="single" w:color="auto" w:sz="4" w:space="0"/>
              <w:left w:val="single" w:color="auto" w:sz="4" w:space="0"/>
              <w:bottom w:val="single" w:color="auto" w:sz="4" w:space="0"/>
              <w:right w:val="single" w:color="auto" w:sz="4" w:space="0"/>
            </w:tcBorders>
            <w:noWrap w:val="0"/>
            <w:vAlign w:val="top"/>
          </w:tcPr>
          <w:p w14:paraId="1B1EAD27">
            <w:pPr>
              <w:rPr>
                <w:rFonts w:hint="eastAsia" w:ascii="宋体" w:hAnsi="宋体" w:eastAsia="宋体" w:cs="宋体"/>
                <w:sz w:val="20"/>
                <w:szCs w:val="20"/>
              </w:rPr>
            </w:pPr>
            <w:r>
              <w:rPr>
                <w:rFonts w:hint="eastAsia" w:ascii="宋体" w:hAnsi="宋体" w:eastAsia="宋体" w:cs="宋体"/>
                <w:sz w:val="20"/>
                <w:szCs w:val="20"/>
              </w:rPr>
              <w:t>风阀机械传动部件要定期、定置润滑。调节微动开关行程位，确保动作信号反馈正常</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08B207BC">
            <w:pPr>
              <w:rPr>
                <w:rFonts w:hint="eastAsia" w:ascii="宋体" w:hAnsi="宋体" w:eastAsia="宋体" w:cs="宋体"/>
                <w:sz w:val="20"/>
                <w:szCs w:val="20"/>
              </w:rPr>
            </w:pPr>
            <w:r>
              <w:rPr>
                <w:rFonts w:hint="eastAsia" w:ascii="宋体" w:hAnsi="宋体" w:eastAsia="宋体" w:cs="宋体"/>
                <w:sz w:val="20"/>
                <w:szCs w:val="20"/>
              </w:rPr>
              <w:t>不合格每一处扣0.5分</w:t>
            </w:r>
          </w:p>
        </w:tc>
        <w:tc>
          <w:tcPr>
            <w:tcW w:w="553" w:type="dxa"/>
            <w:tcBorders>
              <w:top w:val="single" w:color="auto" w:sz="4" w:space="0"/>
              <w:left w:val="single" w:color="auto" w:sz="4" w:space="0"/>
              <w:bottom w:val="single" w:color="auto" w:sz="4" w:space="0"/>
              <w:right w:val="single" w:color="auto" w:sz="4" w:space="0"/>
            </w:tcBorders>
            <w:noWrap w:val="0"/>
            <w:vAlign w:val="top"/>
          </w:tcPr>
          <w:p w14:paraId="5E90C30D">
            <w:pPr>
              <w:jc w:val="center"/>
              <w:rPr>
                <w:rFonts w:hint="eastAsia" w:ascii="宋体" w:hAnsi="宋体" w:eastAsia="宋体" w:cs="宋体"/>
                <w:sz w:val="20"/>
                <w:szCs w:val="20"/>
              </w:rPr>
            </w:pPr>
          </w:p>
        </w:tc>
        <w:tc>
          <w:tcPr>
            <w:tcW w:w="611" w:type="dxa"/>
            <w:tcBorders>
              <w:top w:val="single" w:color="auto" w:sz="4" w:space="0"/>
              <w:left w:val="single" w:color="auto" w:sz="4" w:space="0"/>
              <w:bottom w:val="single" w:color="auto" w:sz="4" w:space="0"/>
              <w:right w:val="single" w:color="auto" w:sz="4" w:space="0"/>
            </w:tcBorders>
            <w:noWrap w:val="0"/>
            <w:vAlign w:val="top"/>
          </w:tcPr>
          <w:p w14:paraId="3E39FEFA">
            <w:pPr>
              <w:jc w:val="center"/>
              <w:rPr>
                <w:rFonts w:hint="eastAsia" w:ascii="宋体" w:hAnsi="宋体" w:eastAsia="宋体" w:cs="宋体"/>
                <w:sz w:val="20"/>
                <w:szCs w:val="20"/>
              </w:rPr>
            </w:pPr>
          </w:p>
        </w:tc>
        <w:tc>
          <w:tcPr>
            <w:tcW w:w="481" w:type="dxa"/>
            <w:tcBorders>
              <w:top w:val="single" w:color="auto" w:sz="4" w:space="0"/>
              <w:left w:val="single" w:color="auto" w:sz="4" w:space="0"/>
              <w:bottom w:val="single" w:color="auto" w:sz="4" w:space="0"/>
              <w:right w:val="single" w:color="auto" w:sz="4" w:space="0"/>
            </w:tcBorders>
            <w:noWrap w:val="0"/>
            <w:vAlign w:val="center"/>
          </w:tcPr>
          <w:p w14:paraId="55B7E089">
            <w:pPr>
              <w:jc w:val="center"/>
              <w:rPr>
                <w:rFonts w:hint="eastAsia" w:ascii="宋体" w:hAnsi="宋体" w:eastAsia="宋体" w:cs="宋体"/>
                <w:b/>
                <w:sz w:val="20"/>
                <w:szCs w:val="20"/>
              </w:rPr>
            </w:pPr>
            <w:r>
              <w:rPr>
                <w:rFonts w:hint="eastAsia" w:ascii="宋体" w:hAnsi="宋体" w:eastAsia="宋体" w:cs="宋体"/>
                <w:b/>
                <w:sz w:val="20"/>
                <w:szCs w:val="20"/>
              </w:rPr>
              <w:t>ⅴ</w:t>
            </w:r>
          </w:p>
        </w:tc>
      </w:tr>
      <w:tr w14:paraId="65E02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5" w:hRule="atLeast"/>
          <w:jc w:val="center"/>
        </w:trPr>
        <w:tc>
          <w:tcPr>
            <w:tcW w:w="528" w:type="dxa"/>
            <w:vMerge w:val="restart"/>
            <w:tcBorders>
              <w:top w:val="single" w:color="auto" w:sz="4" w:space="0"/>
              <w:left w:val="single" w:color="auto" w:sz="4" w:space="0"/>
              <w:right w:val="single" w:color="auto" w:sz="4" w:space="0"/>
            </w:tcBorders>
            <w:noWrap w:val="0"/>
            <w:textDirection w:val="tbRlV"/>
            <w:vAlign w:val="center"/>
          </w:tcPr>
          <w:p w14:paraId="60729BA7">
            <w:pPr>
              <w:widowControl/>
              <w:ind w:left="113" w:right="113"/>
              <w:jc w:val="center"/>
              <w:rPr>
                <w:rFonts w:hint="eastAsia" w:ascii="宋体" w:hAnsi="宋体" w:eastAsia="宋体" w:cs="宋体"/>
                <w:sz w:val="20"/>
                <w:szCs w:val="20"/>
              </w:rPr>
            </w:pPr>
            <w:r>
              <w:rPr>
                <w:rFonts w:hint="eastAsia" w:ascii="宋体" w:hAnsi="宋体" w:eastAsia="宋体" w:cs="宋体"/>
                <w:sz w:val="20"/>
                <w:szCs w:val="20"/>
              </w:rPr>
              <w:t>排烟系统</w:t>
            </w:r>
            <w:r>
              <w:rPr>
                <w:rFonts w:hint="eastAsia" w:ascii="宋体" w:hAnsi="宋体" w:cs="宋体"/>
                <w:sz w:val="20"/>
                <w:szCs w:val="20"/>
                <w:lang w:eastAsia="zh-CN"/>
              </w:rPr>
              <w:t>（</w:t>
            </w:r>
            <w:r>
              <w:rPr>
                <w:rFonts w:hint="eastAsia" w:ascii="宋体" w:hAnsi="宋体" w:cs="宋体"/>
                <w:sz w:val="20"/>
                <w:szCs w:val="20"/>
                <w:lang w:val="en-US" w:eastAsia="zh-CN"/>
              </w:rPr>
              <w:t>分值5分</w:t>
            </w:r>
            <w:r>
              <w:rPr>
                <w:rFonts w:hint="eastAsia" w:ascii="宋体" w:hAnsi="宋体" w:cs="宋体"/>
                <w:sz w:val="20"/>
                <w:szCs w:val="20"/>
                <w:lang w:eastAsia="zh-CN"/>
              </w:rPr>
              <w:t>）</w:t>
            </w:r>
          </w:p>
        </w:tc>
        <w:tc>
          <w:tcPr>
            <w:tcW w:w="528" w:type="dxa"/>
            <w:vMerge w:val="restart"/>
            <w:tcBorders>
              <w:top w:val="single" w:color="auto" w:sz="4" w:space="0"/>
              <w:left w:val="single" w:color="auto" w:sz="4" w:space="0"/>
              <w:right w:val="single" w:color="auto" w:sz="4" w:space="0"/>
            </w:tcBorders>
            <w:noWrap w:val="0"/>
            <w:textDirection w:val="tbRlV"/>
            <w:vAlign w:val="center"/>
          </w:tcPr>
          <w:p w14:paraId="18351B69">
            <w:pPr>
              <w:widowControl/>
              <w:ind w:left="113" w:right="113"/>
              <w:jc w:val="center"/>
              <w:rPr>
                <w:rFonts w:hint="eastAsia" w:ascii="宋体" w:hAnsi="宋体" w:eastAsia="宋体" w:cs="宋体"/>
                <w:sz w:val="20"/>
                <w:szCs w:val="20"/>
              </w:rPr>
            </w:pPr>
            <w:r>
              <w:rPr>
                <w:rFonts w:hint="eastAsia" w:ascii="宋体" w:hAnsi="宋体" w:eastAsia="宋体" w:cs="宋体"/>
                <w:sz w:val="20"/>
                <w:szCs w:val="20"/>
              </w:rPr>
              <w:t>排烟风机</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DA477A9">
            <w:pPr>
              <w:rPr>
                <w:rFonts w:hint="eastAsia" w:ascii="宋体" w:hAnsi="宋体" w:eastAsia="宋体" w:cs="宋体"/>
                <w:sz w:val="20"/>
                <w:szCs w:val="20"/>
              </w:rPr>
            </w:pPr>
            <w:r>
              <w:rPr>
                <w:rFonts w:hint="eastAsia" w:ascii="宋体" w:hAnsi="宋体" w:eastAsia="宋体" w:cs="宋体"/>
                <w:sz w:val="20"/>
                <w:szCs w:val="20"/>
              </w:rPr>
              <w:t>消防中心联动柜控制风机动作状况</w:t>
            </w:r>
          </w:p>
        </w:tc>
        <w:tc>
          <w:tcPr>
            <w:tcW w:w="3870" w:type="dxa"/>
            <w:tcBorders>
              <w:top w:val="single" w:color="auto" w:sz="4" w:space="0"/>
              <w:left w:val="single" w:color="auto" w:sz="4" w:space="0"/>
              <w:bottom w:val="single" w:color="auto" w:sz="4" w:space="0"/>
              <w:right w:val="single" w:color="auto" w:sz="4" w:space="0"/>
            </w:tcBorders>
            <w:noWrap w:val="0"/>
            <w:vAlign w:val="top"/>
          </w:tcPr>
          <w:p w14:paraId="3622A218">
            <w:pPr>
              <w:rPr>
                <w:rFonts w:hint="eastAsia" w:ascii="宋体" w:hAnsi="宋体" w:eastAsia="宋体" w:cs="宋体"/>
                <w:sz w:val="20"/>
                <w:szCs w:val="20"/>
              </w:rPr>
            </w:pPr>
            <w:r>
              <w:rPr>
                <w:rFonts w:hint="eastAsia" w:ascii="宋体" w:hAnsi="宋体" w:eastAsia="宋体" w:cs="宋体"/>
                <w:sz w:val="20"/>
                <w:szCs w:val="20"/>
              </w:rPr>
              <w:t>要能够控制风机动作，同时主机显示所动作风机的中继器系统号、地址码、对应的中文信息。风机工作状态要正常</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1556EFB7">
            <w:pPr>
              <w:rPr>
                <w:rFonts w:hint="eastAsia" w:ascii="宋体" w:hAnsi="宋体" w:eastAsia="宋体" w:cs="宋体"/>
                <w:sz w:val="20"/>
                <w:szCs w:val="20"/>
              </w:rPr>
            </w:pPr>
            <w:r>
              <w:rPr>
                <w:rFonts w:hint="eastAsia" w:ascii="宋体" w:hAnsi="宋体" w:eastAsia="宋体" w:cs="宋体"/>
                <w:sz w:val="20"/>
                <w:szCs w:val="20"/>
              </w:rPr>
              <w:t>不合格每一处扣1分</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09F016A1">
            <w:pPr>
              <w:jc w:val="center"/>
              <w:rPr>
                <w:rFonts w:hint="eastAsia" w:ascii="宋体" w:hAnsi="宋体" w:eastAsia="宋体" w:cs="宋体"/>
                <w:b/>
                <w:sz w:val="20"/>
                <w:szCs w:val="20"/>
              </w:rPr>
            </w:pPr>
          </w:p>
        </w:tc>
        <w:tc>
          <w:tcPr>
            <w:tcW w:w="611" w:type="dxa"/>
            <w:tcBorders>
              <w:top w:val="single" w:color="auto" w:sz="4" w:space="0"/>
              <w:left w:val="single" w:color="auto" w:sz="4" w:space="0"/>
              <w:bottom w:val="single" w:color="auto" w:sz="4" w:space="0"/>
              <w:right w:val="single" w:color="auto" w:sz="4" w:space="0"/>
            </w:tcBorders>
            <w:noWrap w:val="0"/>
            <w:vAlign w:val="center"/>
          </w:tcPr>
          <w:p w14:paraId="1A426F2A">
            <w:pPr>
              <w:jc w:val="center"/>
              <w:rPr>
                <w:rFonts w:hint="eastAsia" w:ascii="宋体" w:hAnsi="宋体" w:eastAsia="宋体" w:cs="宋体"/>
                <w:sz w:val="20"/>
                <w:szCs w:val="20"/>
              </w:rPr>
            </w:pPr>
            <w:r>
              <w:rPr>
                <w:rFonts w:hint="eastAsia" w:ascii="宋体" w:hAnsi="宋体" w:eastAsia="宋体" w:cs="宋体"/>
                <w:b/>
                <w:sz w:val="20"/>
                <w:szCs w:val="20"/>
              </w:rPr>
              <w:t>ⅴ</w:t>
            </w:r>
          </w:p>
        </w:tc>
        <w:tc>
          <w:tcPr>
            <w:tcW w:w="481" w:type="dxa"/>
            <w:tcBorders>
              <w:top w:val="single" w:color="auto" w:sz="4" w:space="0"/>
              <w:left w:val="single" w:color="auto" w:sz="4" w:space="0"/>
              <w:bottom w:val="single" w:color="auto" w:sz="4" w:space="0"/>
              <w:right w:val="single" w:color="auto" w:sz="4" w:space="0"/>
            </w:tcBorders>
            <w:noWrap w:val="0"/>
            <w:vAlign w:val="center"/>
          </w:tcPr>
          <w:p w14:paraId="203ACF5E">
            <w:pPr>
              <w:jc w:val="center"/>
              <w:rPr>
                <w:rFonts w:hint="eastAsia" w:ascii="宋体" w:hAnsi="宋体" w:eastAsia="宋体" w:cs="宋体"/>
                <w:b/>
                <w:sz w:val="20"/>
                <w:szCs w:val="20"/>
              </w:rPr>
            </w:pPr>
          </w:p>
        </w:tc>
      </w:tr>
      <w:tr w14:paraId="2854F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1" w:hRule="atLeast"/>
          <w:jc w:val="center"/>
        </w:trPr>
        <w:tc>
          <w:tcPr>
            <w:tcW w:w="528" w:type="dxa"/>
            <w:vMerge w:val="continue"/>
            <w:tcBorders>
              <w:left w:val="single" w:color="auto" w:sz="4" w:space="0"/>
              <w:right w:val="single" w:color="auto" w:sz="4" w:space="0"/>
            </w:tcBorders>
            <w:noWrap w:val="0"/>
            <w:textDirection w:val="tbRlV"/>
            <w:vAlign w:val="center"/>
          </w:tcPr>
          <w:p w14:paraId="74445ED6">
            <w:pPr>
              <w:widowControl/>
              <w:ind w:left="113" w:right="113"/>
              <w:jc w:val="left"/>
              <w:rPr>
                <w:rFonts w:hint="eastAsia" w:ascii="宋体" w:hAnsi="宋体" w:eastAsia="宋体" w:cs="宋体"/>
                <w:sz w:val="20"/>
                <w:szCs w:val="20"/>
              </w:rPr>
            </w:pPr>
          </w:p>
        </w:tc>
        <w:tc>
          <w:tcPr>
            <w:tcW w:w="528" w:type="dxa"/>
            <w:vMerge w:val="continue"/>
            <w:tcBorders>
              <w:left w:val="single" w:color="auto" w:sz="4" w:space="0"/>
              <w:bottom w:val="single" w:color="auto" w:sz="4" w:space="0"/>
              <w:right w:val="single" w:color="auto" w:sz="4" w:space="0"/>
            </w:tcBorders>
            <w:noWrap w:val="0"/>
            <w:textDirection w:val="tbRlV"/>
            <w:vAlign w:val="center"/>
          </w:tcPr>
          <w:p w14:paraId="058C6A5A">
            <w:pPr>
              <w:widowControl/>
              <w:ind w:left="113" w:right="113"/>
              <w:jc w:val="center"/>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7E7CAF1">
            <w:pPr>
              <w:rPr>
                <w:rFonts w:hint="eastAsia" w:ascii="宋体" w:hAnsi="宋体" w:eastAsia="宋体" w:cs="宋体"/>
                <w:sz w:val="20"/>
                <w:szCs w:val="20"/>
              </w:rPr>
            </w:pPr>
            <w:r>
              <w:rPr>
                <w:rFonts w:hint="eastAsia" w:ascii="宋体" w:hAnsi="宋体" w:eastAsia="宋体" w:cs="宋体"/>
                <w:sz w:val="20"/>
                <w:szCs w:val="20"/>
              </w:rPr>
              <w:t>就地手动启动风机，信号反馈状况</w:t>
            </w:r>
          </w:p>
        </w:tc>
        <w:tc>
          <w:tcPr>
            <w:tcW w:w="3870" w:type="dxa"/>
            <w:tcBorders>
              <w:top w:val="single" w:color="auto" w:sz="4" w:space="0"/>
              <w:left w:val="single" w:color="auto" w:sz="4" w:space="0"/>
              <w:bottom w:val="single" w:color="auto" w:sz="4" w:space="0"/>
              <w:right w:val="single" w:color="auto" w:sz="4" w:space="0"/>
            </w:tcBorders>
            <w:noWrap w:val="0"/>
            <w:vAlign w:val="top"/>
          </w:tcPr>
          <w:p w14:paraId="77E1C670">
            <w:pPr>
              <w:spacing w:line="2" w:lineRule="atLeast"/>
              <w:rPr>
                <w:rFonts w:hint="eastAsia" w:ascii="宋体" w:hAnsi="宋体" w:eastAsia="宋体" w:cs="宋体"/>
                <w:sz w:val="20"/>
                <w:szCs w:val="20"/>
              </w:rPr>
            </w:pPr>
            <w:r>
              <w:rPr>
                <w:rFonts w:hint="eastAsia" w:ascii="宋体" w:hAnsi="宋体" w:eastAsia="宋体" w:cs="宋体"/>
                <w:sz w:val="20"/>
                <w:szCs w:val="20"/>
              </w:rPr>
              <w:t>就地动作风机，主机发出声音报警信号，同时显示所动作风机中继器的系统号、地址号、中文信息</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26BA33F4">
            <w:pPr>
              <w:rPr>
                <w:rFonts w:hint="eastAsia" w:ascii="宋体" w:hAnsi="宋体" w:eastAsia="宋体" w:cs="宋体"/>
                <w:sz w:val="20"/>
                <w:szCs w:val="20"/>
              </w:rPr>
            </w:pPr>
            <w:r>
              <w:rPr>
                <w:rFonts w:hint="eastAsia" w:ascii="宋体" w:hAnsi="宋体" w:eastAsia="宋体" w:cs="宋体"/>
                <w:sz w:val="20"/>
                <w:szCs w:val="20"/>
              </w:rPr>
              <w:t>不合格每一处扣1分</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6A7CCC93">
            <w:pPr>
              <w:jc w:val="center"/>
              <w:rPr>
                <w:rFonts w:hint="eastAsia" w:ascii="宋体" w:hAnsi="宋体" w:eastAsia="宋体" w:cs="宋体"/>
                <w:b/>
                <w:sz w:val="20"/>
                <w:szCs w:val="20"/>
              </w:rPr>
            </w:pPr>
          </w:p>
        </w:tc>
        <w:tc>
          <w:tcPr>
            <w:tcW w:w="611" w:type="dxa"/>
            <w:tcBorders>
              <w:top w:val="single" w:color="auto" w:sz="4" w:space="0"/>
              <w:left w:val="single" w:color="auto" w:sz="4" w:space="0"/>
              <w:bottom w:val="single" w:color="auto" w:sz="4" w:space="0"/>
              <w:right w:val="single" w:color="auto" w:sz="4" w:space="0"/>
            </w:tcBorders>
            <w:noWrap w:val="0"/>
            <w:vAlign w:val="center"/>
          </w:tcPr>
          <w:p w14:paraId="1BF29FD3">
            <w:pPr>
              <w:jc w:val="center"/>
              <w:rPr>
                <w:rFonts w:hint="eastAsia" w:ascii="宋体" w:hAnsi="宋体" w:eastAsia="宋体" w:cs="宋体"/>
                <w:sz w:val="20"/>
                <w:szCs w:val="20"/>
              </w:rPr>
            </w:pPr>
            <w:r>
              <w:rPr>
                <w:rFonts w:hint="eastAsia" w:ascii="宋体" w:hAnsi="宋体" w:eastAsia="宋体" w:cs="宋体"/>
                <w:b/>
                <w:sz w:val="20"/>
                <w:szCs w:val="20"/>
              </w:rPr>
              <w:t>ⅴ</w:t>
            </w:r>
          </w:p>
        </w:tc>
        <w:tc>
          <w:tcPr>
            <w:tcW w:w="481" w:type="dxa"/>
            <w:tcBorders>
              <w:top w:val="single" w:color="auto" w:sz="4" w:space="0"/>
              <w:left w:val="single" w:color="auto" w:sz="4" w:space="0"/>
              <w:bottom w:val="single" w:color="auto" w:sz="4" w:space="0"/>
              <w:right w:val="single" w:color="auto" w:sz="4" w:space="0"/>
            </w:tcBorders>
            <w:noWrap w:val="0"/>
            <w:vAlign w:val="center"/>
          </w:tcPr>
          <w:p w14:paraId="4B00FF18">
            <w:pPr>
              <w:jc w:val="center"/>
              <w:rPr>
                <w:rFonts w:hint="eastAsia" w:ascii="宋体" w:hAnsi="宋体" w:eastAsia="宋体" w:cs="宋体"/>
                <w:b/>
                <w:sz w:val="20"/>
                <w:szCs w:val="20"/>
              </w:rPr>
            </w:pPr>
          </w:p>
        </w:tc>
      </w:tr>
      <w:tr w14:paraId="73615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3" w:hRule="atLeast"/>
          <w:jc w:val="center"/>
        </w:trPr>
        <w:tc>
          <w:tcPr>
            <w:tcW w:w="528" w:type="dxa"/>
            <w:vMerge w:val="continue"/>
            <w:tcBorders>
              <w:left w:val="single" w:color="auto" w:sz="4" w:space="0"/>
              <w:right w:val="single" w:color="auto" w:sz="4" w:space="0"/>
            </w:tcBorders>
            <w:noWrap w:val="0"/>
            <w:vAlign w:val="center"/>
          </w:tcPr>
          <w:p w14:paraId="26494457">
            <w:pPr>
              <w:widowControl/>
              <w:jc w:val="left"/>
              <w:rPr>
                <w:rFonts w:hint="eastAsia" w:ascii="宋体" w:hAnsi="宋体" w:eastAsia="宋体" w:cs="宋体"/>
                <w:sz w:val="20"/>
                <w:szCs w:val="20"/>
              </w:rPr>
            </w:pPr>
          </w:p>
        </w:tc>
        <w:tc>
          <w:tcPr>
            <w:tcW w:w="528" w:type="dxa"/>
            <w:vMerge w:val="restart"/>
            <w:tcBorders>
              <w:top w:val="single" w:color="auto" w:sz="4" w:space="0"/>
              <w:left w:val="single" w:color="auto" w:sz="4" w:space="0"/>
              <w:right w:val="single" w:color="auto" w:sz="4" w:space="0"/>
            </w:tcBorders>
            <w:noWrap w:val="0"/>
            <w:textDirection w:val="tbRlV"/>
            <w:vAlign w:val="center"/>
          </w:tcPr>
          <w:p w14:paraId="1BEE221E">
            <w:pPr>
              <w:widowControl/>
              <w:ind w:left="113" w:right="113"/>
              <w:jc w:val="center"/>
              <w:rPr>
                <w:rFonts w:hint="eastAsia" w:ascii="宋体" w:hAnsi="宋体" w:eastAsia="宋体" w:cs="宋体"/>
                <w:sz w:val="20"/>
                <w:szCs w:val="20"/>
              </w:rPr>
            </w:pPr>
            <w:r>
              <w:rPr>
                <w:rFonts w:hint="eastAsia" w:ascii="宋体" w:hAnsi="宋体" w:eastAsia="宋体" w:cs="宋体"/>
                <w:sz w:val="20"/>
                <w:szCs w:val="20"/>
              </w:rPr>
              <w:t>排烟风阀</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4E596BB">
            <w:pPr>
              <w:rPr>
                <w:rFonts w:hint="eastAsia" w:ascii="宋体" w:hAnsi="宋体" w:eastAsia="宋体" w:cs="宋体"/>
                <w:sz w:val="20"/>
                <w:szCs w:val="20"/>
              </w:rPr>
            </w:pPr>
            <w:r>
              <w:rPr>
                <w:rFonts w:hint="eastAsia" w:ascii="宋体" w:hAnsi="宋体" w:eastAsia="宋体" w:cs="宋体"/>
                <w:sz w:val="20"/>
                <w:szCs w:val="20"/>
              </w:rPr>
              <w:t>就地位置手动开启风阀</w:t>
            </w:r>
          </w:p>
        </w:tc>
        <w:tc>
          <w:tcPr>
            <w:tcW w:w="3870" w:type="dxa"/>
            <w:tcBorders>
              <w:top w:val="single" w:color="auto" w:sz="4" w:space="0"/>
              <w:left w:val="single" w:color="auto" w:sz="4" w:space="0"/>
              <w:bottom w:val="single" w:color="auto" w:sz="4" w:space="0"/>
              <w:right w:val="single" w:color="auto" w:sz="4" w:space="0"/>
            </w:tcBorders>
            <w:noWrap w:val="0"/>
            <w:vAlign w:val="top"/>
          </w:tcPr>
          <w:p w14:paraId="4D709625">
            <w:pPr>
              <w:rPr>
                <w:rFonts w:hint="eastAsia" w:ascii="宋体" w:hAnsi="宋体" w:eastAsia="宋体" w:cs="宋体"/>
                <w:sz w:val="20"/>
                <w:szCs w:val="20"/>
              </w:rPr>
            </w:pPr>
            <w:r>
              <w:rPr>
                <w:rFonts w:hint="eastAsia" w:ascii="宋体" w:hAnsi="宋体" w:eastAsia="宋体" w:cs="宋体"/>
                <w:sz w:val="20"/>
                <w:szCs w:val="20"/>
              </w:rPr>
              <w:t>主机发出报警信号，同时显示相应信息。连动设置自动状态时，能自动启动对应点的风机</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40CFC0DA">
            <w:pPr>
              <w:rPr>
                <w:rFonts w:hint="eastAsia" w:ascii="宋体" w:hAnsi="宋体" w:eastAsia="宋体" w:cs="宋体"/>
                <w:sz w:val="20"/>
                <w:szCs w:val="20"/>
              </w:rPr>
            </w:pPr>
            <w:r>
              <w:rPr>
                <w:rFonts w:hint="eastAsia" w:ascii="宋体" w:hAnsi="宋体" w:eastAsia="宋体" w:cs="宋体"/>
                <w:sz w:val="20"/>
                <w:szCs w:val="20"/>
              </w:rPr>
              <w:t>不合格每一处扣0.5分</w:t>
            </w:r>
          </w:p>
        </w:tc>
        <w:tc>
          <w:tcPr>
            <w:tcW w:w="553" w:type="dxa"/>
            <w:tcBorders>
              <w:top w:val="single" w:color="auto" w:sz="4" w:space="0"/>
              <w:left w:val="single" w:color="auto" w:sz="4" w:space="0"/>
              <w:bottom w:val="single" w:color="auto" w:sz="4" w:space="0"/>
              <w:right w:val="single" w:color="auto" w:sz="4" w:space="0"/>
            </w:tcBorders>
            <w:noWrap w:val="0"/>
            <w:vAlign w:val="top"/>
          </w:tcPr>
          <w:p w14:paraId="2969206D">
            <w:pPr>
              <w:jc w:val="center"/>
              <w:rPr>
                <w:rFonts w:hint="eastAsia" w:ascii="宋体" w:hAnsi="宋体" w:eastAsia="宋体" w:cs="宋体"/>
                <w:sz w:val="20"/>
                <w:szCs w:val="20"/>
              </w:rPr>
            </w:pPr>
          </w:p>
        </w:tc>
        <w:tc>
          <w:tcPr>
            <w:tcW w:w="611" w:type="dxa"/>
            <w:tcBorders>
              <w:top w:val="single" w:color="auto" w:sz="4" w:space="0"/>
              <w:left w:val="single" w:color="auto" w:sz="4" w:space="0"/>
              <w:bottom w:val="single" w:color="auto" w:sz="4" w:space="0"/>
              <w:right w:val="single" w:color="auto" w:sz="4" w:space="0"/>
            </w:tcBorders>
            <w:noWrap w:val="0"/>
            <w:vAlign w:val="center"/>
          </w:tcPr>
          <w:p w14:paraId="28E788C8">
            <w:pPr>
              <w:jc w:val="center"/>
              <w:rPr>
                <w:rFonts w:hint="eastAsia" w:ascii="宋体" w:hAnsi="宋体" w:eastAsia="宋体" w:cs="宋体"/>
                <w:sz w:val="20"/>
                <w:szCs w:val="20"/>
              </w:rPr>
            </w:pPr>
            <w:r>
              <w:rPr>
                <w:rFonts w:hint="eastAsia" w:ascii="宋体" w:hAnsi="宋体" w:eastAsia="宋体" w:cs="宋体"/>
                <w:b/>
                <w:sz w:val="20"/>
                <w:szCs w:val="20"/>
              </w:rPr>
              <w:t>ⅴ</w:t>
            </w:r>
          </w:p>
        </w:tc>
        <w:tc>
          <w:tcPr>
            <w:tcW w:w="481" w:type="dxa"/>
            <w:tcBorders>
              <w:top w:val="single" w:color="auto" w:sz="4" w:space="0"/>
              <w:left w:val="single" w:color="auto" w:sz="4" w:space="0"/>
              <w:bottom w:val="single" w:color="auto" w:sz="4" w:space="0"/>
              <w:right w:val="single" w:color="auto" w:sz="4" w:space="0"/>
            </w:tcBorders>
            <w:noWrap w:val="0"/>
            <w:vAlign w:val="center"/>
          </w:tcPr>
          <w:p w14:paraId="7A1F2D58">
            <w:pPr>
              <w:jc w:val="center"/>
              <w:rPr>
                <w:rFonts w:hint="eastAsia" w:ascii="宋体" w:hAnsi="宋体" w:eastAsia="宋体" w:cs="宋体"/>
                <w:b/>
                <w:sz w:val="20"/>
                <w:szCs w:val="20"/>
              </w:rPr>
            </w:pPr>
          </w:p>
        </w:tc>
      </w:tr>
      <w:tr w14:paraId="50514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0" w:hRule="atLeast"/>
          <w:jc w:val="center"/>
        </w:trPr>
        <w:tc>
          <w:tcPr>
            <w:tcW w:w="528" w:type="dxa"/>
            <w:vMerge w:val="continue"/>
            <w:tcBorders>
              <w:left w:val="single" w:color="auto" w:sz="4" w:space="0"/>
              <w:bottom w:val="single" w:color="auto" w:sz="4" w:space="0"/>
              <w:right w:val="single" w:color="auto" w:sz="4" w:space="0"/>
            </w:tcBorders>
            <w:noWrap w:val="0"/>
            <w:vAlign w:val="center"/>
          </w:tcPr>
          <w:p w14:paraId="3965B89E">
            <w:pPr>
              <w:widowControl/>
              <w:jc w:val="left"/>
              <w:rPr>
                <w:rFonts w:hint="eastAsia" w:ascii="宋体" w:hAnsi="宋体" w:eastAsia="宋体" w:cs="宋体"/>
                <w:sz w:val="20"/>
                <w:szCs w:val="20"/>
              </w:rPr>
            </w:pPr>
          </w:p>
        </w:tc>
        <w:tc>
          <w:tcPr>
            <w:tcW w:w="528" w:type="dxa"/>
            <w:vMerge w:val="continue"/>
            <w:tcBorders>
              <w:left w:val="single" w:color="auto" w:sz="4" w:space="0"/>
              <w:bottom w:val="single" w:color="auto" w:sz="4" w:space="0"/>
              <w:right w:val="single" w:color="auto" w:sz="4" w:space="0"/>
            </w:tcBorders>
            <w:noWrap w:val="0"/>
            <w:textDirection w:val="tbRlV"/>
            <w:vAlign w:val="center"/>
          </w:tcPr>
          <w:p w14:paraId="51E322FA">
            <w:pPr>
              <w:widowControl/>
              <w:ind w:left="113" w:right="113"/>
              <w:jc w:val="center"/>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5F74832B">
            <w:pPr>
              <w:rPr>
                <w:rFonts w:hint="eastAsia" w:ascii="宋体" w:hAnsi="宋体" w:eastAsia="宋体" w:cs="宋体"/>
                <w:sz w:val="20"/>
                <w:szCs w:val="20"/>
              </w:rPr>
            </w:pPr>
            <w:r>
              <w:rPr>
                <w:rFonts w:hint="eastAsia" w:ascii="宋体" w:hAnsi="宋体" w:eastAsia="宋体" w:cs="宋体"/>
                <w:sz w:val="20"/>
                <w:szCs w:val="20"/>
              </w:rPr>
              <w:t>排烟阀机械传动部件状况</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52B5D490">
            <w:pPr>
              <w:jc w:val="center"/>
              <w:rPr>
                <w:rFonts w:hint="eastAsia" w:ascii="宋体" w:hAnsi="宋体" w:eastAsia="宋体" w:cs="宋体"/>
                <w:sz w:val="20"/>
                <w:szCs w:val="20"/>
              </w:rPr>
            </w:pPr>
            <w:r>
              <w:rPr>
                <w:rFonts w:hint="eastAsia" w:ascii="宋体" w:hAnsi="宋体" w:eastAsia="宋体" w:cs="宋体"/>
                <w:sz w:val="20"/>
                <w:szCs w:val="20"/>
              </w:rPr>
              <w:t>风阀机械传动部件要定期、定置润滑。调节微动开关行程位，确保动作信号反馈正常</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5B9934A3">
            <w:pPr>
              <w:jc w:val="center"/>
              <w:rPr>
                <w:rFonts w:hint="eastAsia" w:ascii="宋体" w:hAnsi="宋体" w:eastAsia="宋体" w:cs="宋体"/>
                <w:sz w:val="20"/>
                <w:szCs w:val="20"/>
              </w:rPr>
            </w:pPr>
            <w:r>
              <w:rPr>
                <w:rFonts w:hint="eastAsia" w:ascii="宋体" w:hAnsi="宋体" w:eastAsia="宋体" w:cs="宋体"/>
                <w:sz w:val="20"/>
                <w:szCs w:val="20"/>
              </w:rPr>
              <w:t>不合格每一处扣0.5分</w:t>
            </w:r>
          </w:p>
        </w:tc>
        <w:tc>
          <w:tcPr>
            <w:tcW w:w="553" w:type="dxa"/>
            <w:tcBorders>
              <w:top w:val="single" w:color="auto" w:sz="4" w:space="0"/>
              <w:left w:val="single" w:color="auto" w:sz="4" w:space="0"/>
              <w:bottom w:val="single" w:color="auto" w:sz="4" w:space="0"/>
              <w:right w:val="single" w:color="auto" w:sz="4" w:space="0"/>
            </w:tcBorders>
            <w:noWrap w:val="0"/>
            <w:vAlign w:val="top"/>
          </w:tcPr>
          <w:p w14:paraId="55EB988B">
            <w:pPr>
              <w:jc w:val="center"/>
              <w:rPr>
                <w:rFonts w:hint="eastAsia" w:ascii="宋体" w:hAnsi="宋体" w:eastAsia="宋体" w:cs="宋体"/>
                <w:sz w:val="20"/>
                <w:szCs w:val="20"/>
              </w:rPr>
            </w:pPr>
          </w:p>
        </w:tc>
        <w:tc>
          <w:tcPr>
            <w:tcW w:w="611" w:type="dxa"/>
            <w:tcBorders>
              <w:top w:val="single" w:color="auto" w:sz="4" w:space="0"/>
              <w:left w:val="single" w:color="auto" w:sz="4" w:space="0"/>
              <w:bottom w:val="single" w:color="auto" w:sz="4" w:space="0"/>
              <w:right w:val="single" w:color="auto" w:sz="4" w:space="0"/>
            </w:tcBorders>
            <w:noWrap w:val="0"/>
            <w:vAlign w:val="center"/>
          </w:tcPr>
          <w:p w14:paraId="5BA9DE60">
            <w:pPr>
              <w:jc w:val="center"/>
              <w:rPr>
                <w:rFonts w:hint="eastAsia" w:ascii="宋体" w:hAnsi="宋体" w:eastAsia="宋体" w:cs="宋体"/>
                <w:b/>
                <w:sz w:val="20"/>
                <w:szCs w:val="20"/>
              </w:rPr>
            </w:pPr>
            <w:r>
              <w:rPr>
                <w:rFonts w:hint="eastAsia" w:ascii="宋体" w:hAnsi="宋体" w:eastAsia="宋体" w:cs="宋体"/>
                <w:b/>
                <w:sz w:val="20"/>
                <w:szCs w:val="20"/>
              </w:rPr>
              <w:t>ⅴ</w:t>
            </w:r>
          </w:p>
        </w:tc>
        <w:tc>
          <w:tcPr>
            <w:tcW w:w="481" w:type="dxa"/>
            <w:tcBorders>
              <w:top w:val="single" w:color="auto" w:sz="4" w:space="0"/>
              <w:left w:val="single" w:color="auto" w:sz="4" w:space="0"/>
              <w:bottom w:val="single" w:color="auto" w:sz="4" w:space="0"/>
              <w:right w:val="single" w:color="auto" w:sz="4" w:space="0"/>
            </w:tcBorders>
            <w:noWrap w:val="0"/>
            <w:vAlign w:val="center"/>
          </w:tcPr>
          <w:p w14:paraId="01EAF404">
            <w:pPr>
              <w:jc w:val="center"/>
              <w:rPr>
                <w:rFonts w:hint="eastAsia" w:ascii="宋体" w:hAnsi="宋体" w:eastAsia="宋体" w:cs="宋体"/>
                <w:b/>
                <w:sz w:val="20"/>
                <w:szCs w:val="20"/>
              </w:rPr>
            </w:pPr>
          </w:p>
          <w:p w14:paraId="1124273D">
            <w:pPr>
              <w:jc w:val="center"/>
              <w:rPr>
                <w:rFonts w:hint="eastAsia" w:ascii="宋体" w:hAnsi="宋体" w:eastAsia="宋体" w:cs="宋体"/>
                <w:b/>
                <w:sz w:val="20"/>
                <w:szCs w:val="20"/>
              </w:rPr>
            </w:pPr>
          </w:p>
          <w:p w14:paraId="14888745">
            <w:pPr>
              <w:jc w:val="center"/>
              <w:rPr>
                <w:rFonts w:hint="eastAsia" w:ascii="宋体" w:hAnsi="宋体" w:eastAsia="宋体" w:cs="宋体"/>
                <w:b/>
                <w:sz w:val="20"/>
                <w:szCs w:val="20"/>
              </w:rPr>
            </w:pPr>
          </w:p>
          <w:p w14:paraId="5A98F893">
            <w:pPr>
              <w:jc w:val="center"/>
              <w:rPr>
                <w:rFonts w:hint="eastAsia" w:ascii="宋体" w:hAnsi="宋体" w:eastAsia="宋体" w:cs="宋体"/>
                <w:b/>
                <w:sz w:val="20"/>
                <w:szCs w:val="20"/>
              </w:rPr>
            </w:pPr>
          </w:p>
          <w:p w14:paraId="342166B1">
            <w:pPr>
              <w:jc w:val="center"/>
              <w:rPr>
                <w:rFonts w:hint="eastAsia" w:ascii="宋体" w:hAnsi="宋体" w:eastAsia="宋体" w:cs="宋体"/>
                <w:b/>
                <w:sz w:val="20"/>
                <w:szCs w:val="20"/>
              </w:rPr>
            </w:pPr>
          </w:p>
        </w:tc>
      </w:tr>
      <w:tr w14:paraId="5817F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0" w:type="auto"/>
            <w:gridSpan w:val="2"/>
            <w:vMerge w:val="restart"/>
            <w:tcBorders>
              <w:top w:val="single" w:color="auto" w:sz="4" w:space="0"/>
              <w:left w:val="single" w:color="auto" w:sz="4" w:space="0"/>
              <w:bottom w:val="single" w:color="auto" w:sz="4" w:space="0"/>
              <w:right w:val="single" w:color="auto" w:sz="4" w:space="0"/>
              <w:tl2br w:val="single" w:color="auto" w:sz="4" w:space="0"/>
            </w:tcBorders>
            <w:noWrap w:val="0"/>
            <w:vAlign w:val="top"/>
          </w:tcPr>
          <w:p w14:paraId="53298D7A">
            <w:pPr>
              <w:jc w:val="center"/>
              <w:rPr>
                <w:rFonts w:hint="eastAsia" w:ascii="宋体" w:hAnsi="宋体" w:eastAsia="宋体" w:cs="宋体"/>
                <w:sz w:val="20"/>
                <w:szCs w:val="20"/>
              </w:rPr>
            </w:pPr>
            <w:r>
              <w:rPr>
                <w:rFonts w:hint="eastAsia" w:ascii="宋体" w:hAnsi="宋体" w:eastAsia="宋体" w:cs="宋体"/>
                <w:sz w:val="20"/>
                <w:szCs w:val="20"/>
              </w:rPr>
              <w:t xml:space="preserve">       分项要求</w:t>
            </w:r>
          </w:p>
          <w:p w14:paraId="5563872A">
            <w:pPr>
              <w:rPr>
                <w:rFonts w:hint="eastAsia" w:ascii="宋体" w:hAnsi="宋体" w:eastAsia="宋体" w:cs="宋体"/>
                <w:sz w:val="20"/>
                <w:szCs w:val="20"/>
              </w:rPr>
            </w:pPr>
            <w:r>
              <w:rPr>
                <w:rFonts w:hint="eastAsia" w:ascii="宋体" w:hAnsi="宋体" w:eastAsia="宋体" w:cs="宋体"/>
                <w:sz w:val="20"/>
                <w:szCs w:val="20"/>
              </w:rPr>
              <w:t>系统分类</w:t>
            </w:r>
          </w:p>
        </w:tc>
        <w:tc>
          <w:tcPr>
            <w:tcW w:w="0" w:type="auto"/>
            <w:vMerge w:val="restart"/>
            <w:tcBorders>
              <w:top w:val="single" w:color="auto" w:sz="4" w:space="0"/>
              <w:left w:val="single" w:color="auto" w:sz="4" w:space="0"/>
              <w:bottom w:val="single" w:color="auto" w:sz="4" w:space="0"/>
              <w:right w:val="single" w:color="auto" w:sz="4" w:space="0"/>
            </w:tcBorders>
            <w:noWrap w:val="0"/>
            <w:vAlign w:val="center"/>
          </w:tcPr>
          <w:p w14:paraId="298F02E5">
            <w:pPr>
              <w:jc w:val="center"/>
              <w:rPr>
                <w:rFonts w:hint="eastAsia" w:ascii="宋体" w:hAnsi="宋体" w:eastAsia="宋体" w:cs="宋体"/>
                <w:sz w:val="20"/>
                <w:szCs w:val="20"/>
              </w:rPr>
            </w:pPr>
            <w:r>
              <w:rPr>
                <w:rFonts w:hint="eastAsia" w:ascii="宋体" w:hAnsi="宋体" w:eastAsia="宋体" w:cs="宋体"/>
                <w:sz w:val="20"/>
                <w:szCs w:val="20"/>
              </w:rPr>
              <w:t>维护保养项目</w:t>
            </w:r>
          </w:p>
        </w:tc>
        <w:tc>
          <w:tcPr>
            <w:tcW w:w="3870" w:type="dxa"/>
            <w:vMerge w:val="restart"/>
            <w:tcBorders>
              <w:top w:val="single" w:color="auto" w:sz="4" w:space="0"/>
              <w:left w:val="single" w:color="auto" w:sz="4" w:space="0"/>
              <w:bottom w:val="single" w:color="auto" w:sz="4" w:space="0"/>
              <w:right w:val="single" w:color="auto" w:sz="4" w:space="0"/>
            </w:tcBorders>
            <w:noWrap w:val="0"/>
            <w:vAlign w:val="center"/>
          </w:tcPr>
          <w:p w14:paraId="098E1C0C">
            <w:pPr>
              <w:jc w:val="center"/>
              <w:rPr>
                <w:rFonts w:hint="eastAsia" w:ascii="宋体" w:hAnsi="宋体" w:eastAsia="宋体" w:cs="宋体"/>
                <w:sz w:val="20"/>
                <w:szCs w:val="20"/>
              </w:rPr>
            </w:pPr>
            <w:r>
              <w:rPr>
                <w:rFonts w:hint="eastAsia" w:ascii="宋体" w:hAnsi="宋体" w:eastAsia="宋体" w:cs="宋体"/>
                <w:sz w:val="20"/>
                <w:szCs w:val="20"/>
              </w:rPr>
              <w:t>合格标准</w:t>
            </w:r>
          </w:p>
        </w:tc>
        <w:tc>
          <w:tcPr>
            <w:tcW w:w="1135" w:type="dxa"/>
            <w:vMerge w:val="restart"/>
            <w:tcBorders>
              <w:top w:val="single" w:color="auto" w:sz="4" w:space="0"/>
              <w:left w:val="single" w:color="auto" w:sz="4" w:space="0"/>
              <w:bottom w:val="single" w:color="auto" w:sz="4" w:space="0"/>
              <w:right w:val="single" w:color="auto" w:sz="4" w:space="0"/>
            </w:tcBorders>
            <w:noWrap w:val="0"/>
            <w:vAlign w:val="center"/>
          </w:tcPr>
          <w:p w14:paraId="38508D6C">
            <w:pPr>
              <w:jc w:val="center"/>
              <w:rPr>
                <w:rFonts w:hint="eastAsia" w:ascii="宋体" w:hAnsi="宋体" w:eastAsia="宋体" w:cs="宋体"/>
                <w:sz w:val="20"/>
                <w:szCs w:val="20"/>
              </w:rPr>
            </w:pPr>
            <w:r>
              <w:rPr>
                <w:rFonts w:hint="eastAsia" w:ascii="宋体" w:hAnsi="宋体" w:eastAsia="宋体" w:cs="宋体"/>
                <w:sz w:val="20"/>
                <w:szCs w:val="20"/>
              </w:rPr>
              <w:t>扣分标准（参考）</w:t>
            </w:r>
          </w:p>
        </w:tc>
        <w:tc>
          <w:tcPr>
            <w:tcW w:w="1645" w:type="dxa"/>
            <w:gridSpan w:val="3"/>
            <w:tcBorders>
              <w:top w:val="single" w:color="auto" w:sz="4" w:space="0"/>
              <w:left w:val="single" w:color="auto" w:sz="4" w:space="0"/>
              <w:bottom w:val="single" w:color="auto" w:sz="4" w:space="0"/>
              <w:right w:val="single" w:color="auto" w:sz="4" w:space="0"/>
            </w:tcBorders>
            <w:noWrap w:val="0"/>
            <w:vAlign w:val="center"/>
          </w:tcPr>
          <w:p w14:paraId="25F56438">
            <w:pPr>
              <w:jc w:val="center"/>
              <w:rPr>
                <w:rFonts w:hint="eastAsia" w:ascii="宋体" w:hAnsi="宋体" w:eastAsia="宋体" w:cs="宋体"/>
                <w:sz w:val="20"/>
                <w:szCs w:val="20"/>
              </w:rPr>
            </w:pPr>
            <w:r>
              <w:rPr>
                <w:rFonts w:hint="eastAsia" w:ascii="宋体" w:hAnsi="宋体" w:eastAsia="宋体" w:cs="宋体"/>
                <w:sz w:val="20"/>
                <w:szCs w:val="20"/>
              </w:rPr>
              <w:t>工 作 频 次</w:t>
            </w:r>
          </w:p>
        </w:tc>
      </w:tr>
      <w:tr w14:paraId="4D196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0" w:type="auto"/>
            <w:gridSpan w:val="2"/>
            <w:vMerge w:val="continue"/>
            <w:tcBorders>
              <w:top w:val="single" w:color="auto" w:sz="4" w:space="0"/>
              <w:left w:val="single" w:color="auto" w:sz="4" w:space="0"/>
              <w:bottom w:val="single" w:color="auto" w:sz="4" w:space="0"/>
              <w:right w:val="single" w:color="auto" w:sz="4" w:space="0"/>
              <w:tl2br w:val="single" w:color="auto" w:sz="4" w:space="0"/>
            </w:tcBorders>
            <w:noWrap w:val="0"/>
            <w:vAlign w:val="center"/>
          </w:tcPr>
          <w:p w14:paraId="00F14F86">
            <w:pPr>
              <w:widowControl/>
              <w:jc w:val="left"/>
              <w:rPr>
                <w:rFonts w:hint="eastAsia" w:ascii="宋体" w:hAnsi="宋体" w:eastAsia="宋体" w:cs="宋体"/>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C49AB81">
            <w:pPr>
              <w:widowControl/>
              <w:jc w:val="left"/>
              <w:rPr>
                <w:rFonts w:hint="eastAsia" w:ascii="宋体" w:hAnsi="宋体" w:eastAsia="宋体" w:cs="宋体"/>
                <w:sz w:val="20"/>
                <w:szCs w:val="20"/>
              </w:rPr>
            </w:pPr>
          </w:p>
        </w:tc>
        <w:tc>
          <w:tcPr>
            <w:tcW w:w="3870" w:type="dxa"/>
            <w:vMerge w:val="continue"/>
            <w:tcBorders>
              <w:top w:val="single" w:color="auto" w:sz="4" w:space="0"/>
              <w:left w:val="single" w:color="auto" w:sz="4" w:space="0"/>
              <w:bottom w:val="single" w:color="auto" w:sz="4" w:space="0"/>
              <w:right w:val="single" w:color="auto" w:sz="4" w:space="0"/>
            </w:tcBorders>
            <w:noWrap w:val="0"/>
            <w:vAlign w:val="center"/>
          </w:tcPr>
          <w:p w14:paraId="65A39E0D">
            <w:pPr>
              <w:widowControl/>
              <w:jc w:val="left"/>
              <w:rPr>
                <w:rFonts w:hint="eastAsia" w:ascii="宋体" w:hAnsi="宋体" w:eastAsia="宋体" w:cs="宋体"/>
                <w:sz w:val="20"/>
                <w:szCs w:val="20"/>
              </w:rPr>
            </w:pPr>
          </w:p>
        </w:tc>
        <w:tc>
          <w:tcPr>
            <w:tcW w:w="1135" w:type="dxa"/>
            <w:vMerge w:val="continue"/>
            <w:tcBorders>
              <w:top w:val="single" w:color="auto" w:sz="4" w:space="0"/>
              <w:left w:val="single" w:color="auto" w:sz="4" w:space="0"/>
              <w:bottom w:val="single" w:color="auto" w:sz="4" w:space="0"/>
              <w:right w:val="single" w:color="auto" w:sz="4" w:space="0"/>
            </w:tcBorders>
            <w:noWrap w:val="0"/>
            <w:vAlign w:val="center"/>
          </w:tcPr>
          <w:p w14:paraId="61DE9046">
            <w:pPr>
              <w:widowControl/>
              <w:jc w:val="left"/>
              <w:rPr>
                <w:rFonts w:hint="eastAsia" w:ascii="宋体" w:hAnsi="宋体" w:eastAsia="宋体" w:cs="宋体"/>
                <w:sz w:val="20"/>
                <w:szCs w:val="20"/>
              </w:rPr>
            </w:pPr>
          </w:p>
        </w:tc>
        <w:tc>
          <w:tcPr>
            <w:tcW w:w="553" w:type="dxa"/>
            <w:tcBorders>
              <w:top w:val="single" w:color="auto" w:sz="4" w:space="0"/>
              <w:left w:val="single" w:color="auto" w:sz="4" w:space="0"/>
              <w:bottom w:val="single" w:color="auto" w:sz="4" w:space="0"/>
              <w:right w:val="single" w:color="auto" w:sz="4" w:space="0"/>
            </w:tcBorders>
            <w:noWrap w:val="0"/>
            <w:vAlign w:val="center"/>
          </w:tcPr>
          <w:p w14:paraId="5B92E0BE">
            <w:pPr>
              <w:jc w:val="center"/>
              <w:rPr>
                <w:rFonts w:hint="eastAsia" w:ascii="宋体" w:hAnsi="宋体" w:eastAsia="宋体" w:cs="宋体"/>
                <w:sz w:val="20"/>
                <w:szCs w:val="20"/>
              </w:rPr>
            </w:pPr>
            <w:r>
              <w:rPr>
                <w:rFonts w:hint="eastAsia" w:ascii="宋体" w:hAnsi="宋体" w:eastAsia="宋体" w:cs="宋体"/>
                <w:sz w:val="20"/>
                <w:szCs w:val="20"/>
              </w:rPr>
              <w:t>周</w:t>
            </w:r>
          </w:p>
        </w:tc>
        <w:tc>
          <w:tcPr>
            <w:tcW w:w="611" w:type="dxa"/>
            <w:tcBorders>
              <w:top w:val="single" w:color="auto" w:sz="4" w:space="0"/>
              <w:left w:val="single" w:color="auto" w:sz="4" w:space="0"/>
              <w:bottom w:val="single" w:color="auto" w:sz="4" w:space="0"/>
              <w:right w:val="single" w:color="auto" w:sz="4" w:space="0"/>
            </w:tcBorders>
            <w:noWrap w:val="0"/>
            <w:vAlign w:val="center"/>
          </w:tcPr>
          <w:p w14:paraId="2A70F732">
            <w:pPr>
              <w:jc w:val="center"/>
              <w:rPr>
                <w:rFonts w:hint="eastAsia" w:ascii="宋体" w:hAnsi="宋体" w:eastAsia="宋体" w:cs="宋体"/>
                <w:sz w:val="20"/>
                <w:szCs w:val="20"/>
              </w:rPr>
            </w:pPr>
            <w:r>
              <w:rPr>
                <w:rFonts w:hint="eastAsia" w:ascii="宋体" w:hAnsi="宋体" w:eastAsia="宋体" w:cs="宋体"/>
                <w:sz w:val="20"/>
                <w:szCs w:val="20"/>
              </w:rPr>
              <w:t>月</w:t>
            </w:r>
          </w:p>
        </w:tc>
        <w:tc>
          <w:tcPr>
            <w:tcW w:w="481" w:type="dxa"/>
            <w:tcBorders>
              <w:top w:val="single" w:color="auto" w:sz="4" w:space="0"/>
              <w:left w:val="single" w:color="auto" w:sz="4" w:space="0"/>
              <w:bottom w:val="single" w:color="auto" w:sz="4" w:space="0"/>
              <w:right w:val="single" w:color="auto" w:sz="4" w:space="0"/>
            </w:tcBorders>
            <w:noWrap w:val="0"/>
            <w:vAlign w:val="center"/>
          </w:tcPr>
          <w:p w14:paraId="2671B5C0">
            <w:pPr>
              <w:jc w:val="center"/>
              <w:rPr>
                <w:rFonts w:hint="eastAsia" w:ascii="宋体" w:hAnsi="宋体" w:eastAsia="宋体" w:cs="宋体"/>
                <w:sz w:val="20"/>
                <w:szCs w:val="20"/>
              </w:rPr>
            </w:pPr>
            <w:r>
              <w:rPr>
                <w:rFonts w:hint="eastAsia" w:ascii="宋体" w:hAnsi="宋体" w:eastAsia="宋体" w:cs="宋体"/>
                <w:sz w:val="20"/>
                <w:szCs w:val="20"/>
              </w:rPr>
              <w:t>季</w:t>
            </w:r>
          </w:p>
        </w:tc>
      </w:tr>
      <w:tr w14:paraId="2F861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2" w:hRule="atLeast"/>
          <w:jc w:val="center"/>
        </w:trPr>
        <w:tc>
          <w:tcPr>
            <w:tcW w:w="528"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5526D9F3">
            <w:pPr>
              <w:ind w:left="113" w:right="113"/>
              <w:jc w:val="center"/>
              <w:rPr>
                <w:rFonts w:hint="eastAsia" w:ascii="宋体" w:hAnsi="宋体" w:eastAsia="宋体" w:cs="宋体"/>
                <w:sz w:val="20"/>
                <w:szCs w:val="20"/>
              </w:rPr>
            </w:pPr>
            <w:r>
              <w:rPr>
                <w:rFonts w:hint="eastAsia" w:ascii="宋体" w:hAnsi="宋体" w:eastAsia="宋体" w:cs="宋体"/>
                <w:sz w:val="20"/>
                <w:szCs w:val="20"/>
              </w:rPr>
              <w:t>消防应急广播系统</w:t>
            </w:r>
            <w:r>
              <w:rPr>
                <w:rFonts w:hint="eastAsia" w:ascii="宋体" w:hAnsi="宋体" w:cs="宋体"/>
                <w:sz w:val="20"/>
                <w:szCs w:val="20"/>
                <w:lang w:eastAsia="zh-CN"/>
              </w:rPr>
              <w:t>（</w:t>
            </w:r>
            <w:r>
              <w:rPr>
                <w:rFonts w:hint="eastAsia" w:ascii="宋体" w:hAnsi="宋体" w:cs="宋体"/>
                <w:sz w:val="20"/>
                <w:szCs w:val="20"/>
                <w:lang w:val="en-US" w:eastAsia="zh-CN"/>
              </w:rPr>
              <w:t>分值5分</w:t>
            </w:r>
            <w:r>
              <w:rPr>
                <w:rFonts w:hint="eastAsia" w:ascii="宋体" w:hAnsi="宋体" w:cs="宋体"/>
                <w:sz w:val="20"/>
                <w:szCs w:val="20"/>
                <w:lang w:eastAsia="zh-CN"/>
              </w:rPr>
              <w:t>）</w:t>
            </w:r>
          </w:p>
        </w:tc>
        <w:tc>
          <w:tcPr>
            <w:tcW w:w="528"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364ACFF6">
            <w:pPr>
              <w:widowControl/>
              <w:spacing w:before="100" w:beforeAutospacing="1" w:after="100" w:afterAutospacing="1"/>
              <w:jc w:val="center"/>
              <w:rPr>
                <w:rFonts w:hint="eastAsia" w:ascii="宋体" w:hAnsi="宋体" w:eastAsia="宋体" w:cs="宋体"/>
                <w:kern w:val="0"/>
                <w:sz w:val="20"/>
                <w:szCs w:val="20"/>
              </w:rPr>
            </w:pPr>
            <w:r>
              <w:rPr>
                <w:rFonts w:hint="eastAsia" w:ascii="宋体" w:hAnsi="宋体" w:eastAsia="宋体" w:cs="宋体"/>
                <w:kern w:val="0"/>
                <w:sz w:val="20"/>
                <w:szCs w:val="20"/>
              </w:rPr>
              <w:t>消防应急广播主机</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196163D">
            <w:pPr>
              <w:rPr>
                <w:rFonts w:hint="eastAsia" w:ascii="宋体" w:hAnsi="宋体" w:eastAsia="宋体" w:cs="宋体"/>
                <w:sz w:val="20"/>
                <w:szCs w:val="20"/>
              </w:rPr>
            </w:pPr>
            <w:r>
              <w:rPr>
                <w:rFonts w:hint="eastAsia" w:ascii="宋体" w:hAnsi="宋体" w:eastAsia="宋体" w:cs="宋体"/>
                <w:sz w:val="20"/>
                <w:szCs w:val="20"/>
              </w:rPr>
              <w:t>主机柜卫生、通风散热状况</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51F1F6C1">
            <w:pPr>
              <w:rPr>
                <w:rFonts w:hint="eastAsia" w:ascii="宋体" w:hAnsi="宋体" w:eastAsia="宋体" w:cs="宋体"/>
                <w:sz w:val="20"/>
                <w:szCs w:val="20"/>
              </w:rPr>
            </w:pPr>
            <w:r>
              <w:rPr>
                <w:rFonts w:hint="eastAsia" w:ascii="宋体" w:hAnsi="宋体" w:eastAsia="宋体" w:cs="宋体"/>
                <w:sz w:val="20"/>
                <w:szCs w:val="20"/>
              </w:rPr>
              <w:t>主机柜要求清洁、无尘；通风散热良好</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117F14D6">
            <w:pPr>
              <w:rPr>
                <w:rFonts w:hint="eastAsia" w:ascii="宋体" w:hAnsi="宋体" w:eastAsia="宋体" w:cs="宋体"/>
                <w:sz w:val="20"/>
                <w:szCs w:val="20"/>
              </w:rPr>
            </w:pPr>
            <w:r>
              <w:rPr>
                <w:rFonts w:hint="eastAsia" w:ascii="宋体" w:hAnsi="宋体" w:eastAsia="宋体" w:cs="宋体"/>
                <w:sz w:val="20"/>
                <w:szCs w:val="20"/>
              </w:rPr>
              <w:t>不合格扣0.5分</w:t>
            </w:r>
          </w:p>
        </w:tc>
        <w:tc>
          <w:tcPr>
            <w:tcW w:w="553" w:type="dxa"/>
            <w:tcBorders>
              <w:top w:val="single" w:color="auto" w:sz="4" w:space="0"/>
              <w:left w:val="single" w:color="auto" w:sz="4" w:space="0"/>
              <w:bottom w:val="single" w:color="auto" w:sz="4" w:space="0"/>
              <w:right w:val="single" w:color="auto" w:sz="4" w:space="0"/>
            </w:tcBorders>
            <w:noWrap w:val="0"/>
            <w:vAlign w:val="top"/>
          </w:tcPr>
          <w:p w14:paraId="470CF7C4">
            <w:pPr>
              <w:jc w:val="center"/>
              <w:rPr>
                <w:rFonts w:hint="eastAsia" w:ascii="宋体" w:hAnsi="宋体" w:eastAsia="宋体" w:cs="宋体"/>
                <w:sz w:val="20"/>
                <w:szCs w:val="20"/>
              </w:rPr>
            </w:pPr>
          </w:p>
        </w:tc>
        <w:tc>
          <w:tcPr>
            <w:tcW w:w="611" w:type="dxa"/>
            <w:tcBorders>
              <w:top w:val="single" w:color="auto" w:sz="4" w:space="0"/>
              <w:left w:val="single" w:color="auto" w:sz="4" w:space="0"/>
              <w:bottom w:val="single" w:color="auto" w:sz="4" w:space="0"/>
              <w:right w:val="single" w:color="auto" w:sz="4" w:space="0"/>
            </w:tcBorders>
            <w:noWrap w:val="0"/>
            <w:vAlign w:val="top"/>
          </w:tcPr>
          <w:p w14:paraId="6C7DC68F">
            <w:pPr>
              <w:jc w:val="center"/>
              <w:rPr>
                <w:rFonts w:hint="eastAsia" w:ascii="宋体" w:hAnsi="宋体" w:eastAsia="宋体" w:cs="宋体"/>
                <w:b/>
                <w:sz w:val="20"/>
                <w:szCs w:val="20"/>
              </w:rPr>
            </w:pPr>
            <w:r>
              <w:rPr>
                <w:rFonts w:hint="eastAsia" w:ascii="宋体" w:hAnsi="宋体" w:eastAsia="宋体" w:cs="宋体"/>
                <w:b/>
                <w:sz w:val="20"/>
                <w:szCs w:val="20"/>
              </w:rPr>
              <w:t>ⅴ</w:t>
            </w:r>
          </w:p>
        </w:tc>
        <w:tc>
          <w:tcPr>
            <w:tcW w:w="481" w:type="dxa"/>
            <w:tcBorders>
              <w:top w:val="single" w:color="auto" w:sz="4" w:space="0"/>
              <w:left w:val="single" w:color="auto" w:sz="4" w:space="0"/>
              <w:bottom w:val="single" w:color="auto" w:sz="4" w:space="0"/>
              <w:right w:val="single" w:color="auto" w:sz="4" w:space="0"/>
            </w:tcBorders>
            <w:noWrap w:val="0"/>
            <w:vAlign w:val="top"/>
          </w:tcPr>
          <w:p w14:paraId="18C47475">
            <w:pPr>
              <w:jc w:val="center"/>
              <w:rPr>
                <w:rFonts w:hint="eastAsia" w:ascii="宋体" w:hAnsi="宋体" w:eastAsia="宋体" w:cs="宋体"/>
                <w:sz w:val="20"/>
                <w:szCs w:val="20"/>
              </w:rPr>
            </w:pPr>
          </w:p>
        </w:tc>
      </w:tr>
      <w:tr w14:paraId="20F63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jc w:val="center"/>
        </w:trPr>
        <w:tc>
          <w:tcPr>
            <w:tcW w:w="528" w:type="dxa"/>
            <w:vMerge w:val="continue"/>
            <w:tcBorders>
              <w:top w:val="single" w:color="auto" w:sz="4" w:space="0"/>
              <w:left w:val="single" w:color="auto" w:sz="4" w:space="0"/>
              <w:bottom w:val="single" w:color="auto" w:sz="4" w:space="0"/>
              <w:right w:val="single" w:color="auto" w:sz="4" w:space="0"/>
            </w:tcBorders>
            <w:noWrap w:val="0"/>
            <w:vAlign w:val="center"/>
          </w:tcPr>
          <w:p w14:paraId="62F6DAD3">
            <w:pPr>
              <w:widowControl/>
              <w:jc w:val="left"/>
              <w:rPr>
                <w:rFonts w:hint="eastAsia" w:ascii="宋体" w:hAnsi="宋体" w:eastAsia="宋体" w:cs="宋体"/>
                <w:sz w:val="20"/>
                <w:szCs w:val="20"/>
              </w:rPr>
            </w:pPr>
          </w:p>
        </w:tc>
        <w:tc>
          <w:tcPr>
            <w:tcW w:w="528" w:type="dxa"/>
            <w:vMerge w:val="continue"/>
            <w:tcBorders>
              <w:top w:val="single" w:color="auto" w:sz="4" w:space="0"/>
              <w:left w:val="single" w:color="auto" w:sz="4" w:space="0"/>
              <w:bottom w:val="single" w:color="auto" w:sz="4" w:space="0"/>
              <w:right w:val="single" w:color="auto" w:sz="4" w:space="0"/>
            </w:tcBorders>
            <w:noWrap w:val="0"/>
            <w:vAlign w:val="center"/>
          </w:tcPr>
          <w:p w14:paraId="54F80410">
            <w:pPr>
              <w:widowControl/>
              <w:jc w:val="left"/>
              <w:rPr>
                <w:rFonts w:hint="eastAsia" w:ascii="宋体" w:hAnsi="宋体" w:eastAsia="宋体" w:cs="宋体"/>
                <w:kern w:val="0"/>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F4FE1BC">
            <w:pPr>
              <w:rPr>
                <w:rFonts w:hint="eastAsia" w:ascii="宋体" w:hAnsi="宋体" w:eastAsia="宋体" w:cs="宋体"/>
                <w:sz w:val="20"/>
                <w:szCs w:val="20"/>
              </w:rPr>
            </w:pPr>
            <w:r>
              <w:rPr>
                <w:rFonts w:hint="eastAsia" w:ascii="宋体" w:hAnsi="宋体" w:eastAsia="宋体" w:cs="宋体"/>
                <w:sz w:val="20"/>
                <w:szCs w:val="20"/>
              </w:rPr>
              <w:t>前置放大器、功率放大器信号指示状态</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284110DE">
            <w:pPr>
              <w:spacing w:line="2" w:lineRule="atLeast"/>
              <w:rPr>
                <w:rFonts w:hint="eastAsia" w:ascii="宋体" w:hAnsi="宋体" w:eastAsia="宋体" w:cs="宋体"/>
                <w:sz w:val="20"/>
                <w:szCs w:val="20"/>
              </w:rPr>
            </w:pPr>
            <w:r>
              <w:rPr>
                <w:rFonts w:hint="eastAsia" w:ascii="宋体" w:hAnsi="宋体" w:eastAsia="宋体" w:cs="宋体"/>
                <w:sz w:val="20"/>
                <w:szCs w:val="20"/>
              </w:rPr>
              <w:t>要求前置放大器、功率放大器信号指示状态正常</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7E7B3C01">
            <w:pPr>
              <w:spacing w:line="2" w:lineRule="atLeast"/>
              <w:rPr>
                <w:rFonts w:hint="eastAsia" w:ascii="宋体" w:hAnsi="宋体" w:eastAsia="宋体" w:cs="宋体"/>
                <w:sz w:val="20"/>
                <w:szCs w:val="20"/>
              </w:rPr>
            </w:pPr>
            <w:r>
              <w:rPr>
                <w:rFonts w:hint="eastAsia" w:ascii="宋体" w:hAnsi="宋体" w:eastAsia="宋体" w:cs="宋体"/>
                <w:sz w:val="20"/>
                <w:szCs w:val="20"/>
              </w:rPr>
              <w:t>不合格扣1分</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5C9E29A6">
            <w:pPr>
              <w:jc w:val="center"/>
              <w:rPr>
                <w:rFonts w:hint="eastAsia" w:ascii="宋体" w:hAnsi="宋体" w:eastAsia="宋体" w:cs="宋体"/>
                <w:b/>
                <w:sz w:val="20"/>
                <w:szCs w:val="20"/>
              </w:rPr>
            </w:pPr>
            <w:r>
              <w:rPr>
                <w:rFonts w:hint="eastAsia" w:ascii="宋体" w:hAnsi="宋体" w:eastAsia="宋体" w:cs="宋体"/>
                <w:b/>
                <w:sz w:val="20"/>
                <w:szCs w:val="20"/>
              </w:rPr>
              <w:t>ⅴ</w:t>
            </w:r>
          </w:p>
        </w:tc>
        <w:tc>
          <w:tcPr>
            <w:tcW w:w="611" w:type="dxa"/>
            <w:tcBorders>
              <w:top w:val="single" w:color="auto" w:sz="4" w:space="0"/>
              <w:left w:val="single" w:color="auto" w:sz="4" w:space="0"/>
              <w:bottom w:val="single" w:color="auto" w:sz="4" w:space="0"/>
              <w:right w:val="single" w:color="auto" w:sz="4" w:space="0"/>
            </w:tcBorders>
            <w:noWrap w:val="0"/>
            <w:vAlign w:val="top"/>
          </w:tcPr>
          <w:p w14:paraId="51624158">
            <w:pPr>
              <w:jc w:val="center"/>
              <w:rPr>
                <w:rFonts w:hint="eastAsia" w:ascii="宋体" w:hAnsi="宋体" w:eastAsia="宋体" w:cs="宋体"/>
                <w:sz w:val="20"/>
                <w:szCs w:val="20"/>
              </w:rPr>
            </w:pPr>
          </w:p>
        </w:tc>
        <w:tc>
          <w:tcPr>
            <w:tcW w:w="481" w:type="dxa"/>
            <w:tcBorders>
              <w:top w:val="single" w:color="auto" w:sz="4" w:space="0"/>
              <w:left w:val="single" w:color="auto" w:sz="4" w:space="0"/>
              <w:bottom w:val="single" w:color="auto" w:sz="4" w:space="0"/>
              <w:right w:val="single" w:color="auto" w:sz="4" w:space="0"/>
            </w:tcBorders>
            <w:noWrap w:val="0"/>
            <w:vAlign w:val="top"/>
          </w:tcPr>
          <w:p w14:paraId="7D09A8A3">
            <w:pPr>
              <w:jc w:val="center"/>
              <w:rPr>
                <w:rFonts w:hint="eastAsia" w:ascii="宋体" w:hAnsi="宋体" w:eastAsia="宋体" w:cs="宋体"/>
                <w:sz w:val="20"/>
                <w:szCs w:val="20"/>
              </w:rPr>
            </w:pPr>
          </w:p>
        </w:tc>
      </w:tr>
      <w:tr w14:paraId="67587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8" w:hRule="atLeast"/>
          <w:jc w:val="center"/>
        </w:trPr>
        <w:tc>
          <w:tcPr>
            <w:tcW w:w="528" w:type="dxa"/>
            <w:vMerge w:val="continue"/>
            <w:tcBorders>
              <w:top w:val="single" w:color="auto" w:sz="4" w:space="0"/>
              <w:left w:val="single" w:color="auto" w:sz="4" w:space="0"/>
              <w:bottom w:val="single" w:color="auto" w:sz="4" w:space="0"/>
              <w:right w:val="single" w:color="auto" w:sz="4" w:space="0"/>
            </w:tcBorders>
            <w:noWrap w:val="0"/>
            <w:vAlign w:val="center"/>
          </w:tcPr>
          <w:p w14:paraId="66AE0173">
            <w:pPr>
              <w:widowControl/>
              <w:jc w:val="left"/>
              <w:rPr>
                <w:rFonts w:hint="eastAsia" w:ascii="宋体" w:hAnsi="宋体" w:eastAsia="宋体" w:cs="宋体"/>
                <w:sz w:val="20"/>
                <w:szCs w:val="20"/>
              </w:rPr>
            </w:pPr>
          </w:p>
        </w:tc>
        <w:tc>
          <w:tcPr>
            <w:tcW w:w="528" w:type="dxa"/>
            <w:vMerge w:val="continue"/>
            <w:tcBorders>
              <w:top w:val="single" w:color="auto" w:sz="4" w:space="0"/>
              <w:left w:val="single" w:color="auto" w:sz="4" w:space="0"/>
              <w:bottom w:val="single" w:color="auto" w:sz="4" w:space="0"/>
              <w:right w:val="single" w:color="auto" w:sz="4" w:space="0"/>
            </w:tcBorders>
            <w:noWrap w:val="0"/>
            <w:vAlign w:val="center"/>
          </w:tcPr>
          <w:p w14:paraId="56D573BD">
            <w:pPr>
              <w:widowControl/>
              <w:jc w:val="left"/>
              <w:rPr>
                <w:rFonts w:hint="eastAsia" w:ascii="宋体" w:hAnsi="宋体" w:eastAsia="宋体" w:cs="宋体"/>
                <w:kern w:val="0"/>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0FAD9978">
            <w:pPr>
              <w:rPr>
                <w:rFonts w:hint="eastAsia" w:ascii="宋体" w:hAnsi="宋体" w:eastAsia="宋体" w:cs="宋体"/>
                <w:sz w:val="20"/>
                <w:szCs w:val="20"/>
              </w:rPr>
            </w:pPr>
            <w:r>
              <w:rPr>
                <w:rFonts w:hint="eastAsia" w:ascii="宋体" w:hAnsi="宋体" w:eastAsia="宋体" w:cs="宋体"/>
                <w:sz w:val="20"/>
                <w:szCs w:val="20"/>
              </w:rPr>
              <w:t>前置放大器、功率放大器输出音量设置</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244F914D">
            <w:pPr>
              <w:rPr>
                <w:rFonts w:hint="eastAsia" w:ascii="宋体" w:hAnsi="宋体" w:eastAsia="宋体" w:cs="宋体"/>
                <w:sz w:val="20"/>
                <w:szCs w:val="20"/>
              </w:rPr>
            </w:pPr>
            <w:r>
              <w:rPr>
                <w:rFonts w:hint="eastAsia" w:ascii="宋体" w:hAnsi="宋体" w:eastAsia="宋体" w:cs="宋体"/>
                <w:sz w:val="20"/>
                <w:szCs w:val="20"/>
              </w:rPr>
              <w:t>要求前置、功率放大器输出音量设置正确，以防损坏各放大器及其负载或负载输出音量偏小</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6C65EB7B">
            <w:pPr>
              <w:rPr>
                <w:rFonts w:hint="eastAsia" w:ascii="宋体" w:hAnsi="宋体" w:eastAsia="宋体" w:cs="宋体"/>
                <w:sz w:val="20"/>
                <w:szCs w:val="20"/>
              </w:rPr>
            </w:pPr>
            <w:r>
              <w:rPr>
                <w:rFonts w:hint="eastAsia" w:ascii="宋体" w:hAnsi="宋体" w:eastAsia="宋体" w:cs="宋体"/>
                <w:sz w:val="20"/>
                <w:szCs w:val="20"/>
              </w:rPr>
              <w:t>不合格扣1分</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69A20C73">
            <w:pPr>
              <w:jc w:val="center"/>
              <w:rPr>
                <w:rFonts w:hint="eastAsia" w:ascii="宋体" w:hAnsi="宋体" w:eastAsia="宋体" w:cs="宋体"/>
                <w:b/>
                <w:sz w:val="20"/>
                <w:szCs w:val="20"/>
              </w:rPr>
            </w:pPr>
            <w:r>
              <w:rPr>
                <w:rFonts w:hint="eastAsia" w:ascii="宋体" w:hAnsi="宋体" w:eastAsia="宋体" w:cs="宋体"/>
                <w:b/>
                <w:sz w:val="20"/>
                <w:szCs w:val="20"/>
              </w:rPr>
              <w:t>ⅴ</w:t>
            </w:r>
          </w:p>
        </w:tc>
        <w:tc>
          <w:tcPr>
            <w:tcW w:w="611" w:type="dxa"/>
            <w:tcBorders>
              <w:top w:val="single" w:color="auto" w:sz="4" w:space="0"/>
              <w:left w:val="single" w:color="auto" w:sz="4" w:space="0"/>
              <w:bottom w:val="single" w:color="auto" w:sz="4" w:space="0"/>
              <w:right w:val="single" w:color="auto" w:sz="4" w:space="0"/>
            </w:tcBorders>
            <w:noWrap w:val="0"/>
            <w:vAlign w:val="top"/>
          </w:tcPr>
          <w:p w14:paraId="480D5EA0">
            <w:pPr>
              <w:jc w:val="center"/>
              <w:rPr>
                <w:rFonts w:hint="eastAsia" w:ascii="宋体" w:hAnsi="宋体" w:eastAsia="宋体" w:cs="宋体"/>
                <w:sz w:val="20"/>
                <w:szCs w:val="20"/>
              </w:rPr>
            </w:pPr>
          </w:p>
        </w:tc>
        <w:tc>
          <w:tcPr>
            <w:tcW w:w="481" w:type="dxa"/>
            <w:tcBorders>
              <w:top w:val="single" w:color="auto" w:sz="4" w:space="0"/>
              <w:left w:val="single" w:color="auto" w:sz="4" w:space="0"/>
              <w:bottom w:val="single" w:color="auto" w:sz="4" w:space="0"/>
              <w:right w:val="single" w:color="auto" w:sz="4" w:space="0"/>
            </w:tcBorders>
            <w:noWrap w:val="0"/>
            <w:vAlign w:val="top"/>
          </w:tcPr>
          <w:p w14:paraId="5DC2A730">
            <w:pPr>
              <w:jc w:val="center"/>
              <w:rPr>
                <w:rFonts w:hint="eastAsia" w:ascii="宋体" w:hAnsi="宋体" w:eastAsia="宋体" w:cs="宋体"/>
                <w:sz w:val="20"/>
                <w:szCs w:val="20"/>
              </w:rPr>
            </w:pPr>
          </w:p>
        </w:tc>
      </w:tr>
      <w:tr w14:paraId="287BC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6" w:hRule="atLeast"/>
          <w:jc w:val="center"/>
        </w:trPr>
        <w:tc>
          <w:tcPr>
            <w:tcW w:w="528" w:type="dxa"/>
            <w:vMerge w:val="continue"/>
            <w:tcBorders>
              <w:top w:val="single" w:color="auto" w:sz="4" w:space="0"/>
              <w:left w:val="single" w:color="auto" w:sz="4" w:space="0"/>
              <w:bottom w:val="single" w:color="auto" w:sz="4" w:space="0"/>
              <w:right w:val="single" w:color="auto" w:sz="4" w:space="0"/>
            </w:tcBorders>
            <w:noWrap w:val="0"/>
            <w:vAlign w:val="center"/>
          </w:tcPr>
          <w:p w14:paraId="0862D39A">
            <w:pPr>
              <w:widowControl/>
              <w:jc w:val="left"/>
              <w:rPr>
                <w:rFonts w:hint="eastAsia" w:ascii="宋体" w:hAnsi="宋体" w:eastAsia="宋体" w:cs="宋体"/>
                <w:sz w:val="20"/>
                <w:szCs w:val="20"/>
              </w:rPr>
            </w:pPr>
          </w:p>
        </w:tc>
        <w:tc>
          <w:tcPr>
            <w:tcW w:w="528" w:type="dxa"/>
            <w:vMerge w:val="continue"/>
            <w:tcBorders>
              <w:top w:val="single" w:color="auto" w:sz="4" w:space="0"/>
              <w:left w:val="single" w:color="auto" w:sz="4" w:space="0"/>
              <w:bottom w:val="single" w:color="auto" w:sz="4" w:space="0"/>
              <w:right w:val="single" w:color="auto" w:sz="4" w:space="0"/>
            </w:tcBorders>
            <w:noWrap w:val="0"/>
            <w:vAlign w:val="center"/>
          </w:tcPr>
          <w:p w14:paraId="691A74AB">
            <w:pPr>
              <w:widowControl/>
              <w:jc w:val="left"/>
              <w:rPr>
                <w:rFonts w:hint="eastAsia" w:ascii="宋体" w:hAnsi="宋体" w:eastAsia="宋体" w:cs="宋体"/>
                <w:kern w:val="0"/>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58BD802">
            <w:pPr>
              <w:rPr>
                <w:rFonts w:hint="eastAsia" w:ascii="宋体" w:hAnsi="宋体" w:eastAsia="宋体" w:cs="宋体"/>
                <w:sz w:val="20"/>
                <w:szCs w:val="20"/>
              </w:rPr>
            </w:pPr>
            <w:r>
              <w:rPr>
                <w:rFonts w:hint="eastAsia" w:ascii="宋体" w:hAnsi="宋体" w:eastAsia="宋体" w:cs="宋体"/>
                <w:sz w:val="20"/>
                <w:szCs w:val="20"/>
              </w:rPr>
              <w:t>检查麦克风工作状况</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6FA54EFF">
            <w:pPr>
              <w:rPr>
                <w:rFonts w:hint="eastAsia" w:ascii="宋体" w:hAnsi="宋体" w:eastAsia="宋体" w:cs="宋体"/>
                <w:sz w:val="20"/>
                <w:szCs w:val="20"/>
              </w:rPr>
            </w:pPr>
            <w:r>
              <w:rPr>
                <w:rFonts w:hint="eastAsia" w:ascii="宋体" w:hAnsi="宋体" w:eastAsia="宋体" w:cs="宋体"/>
                <w:sz w:val="20"/>
                <w:szCs w:val="20"/>
              </w:rPr>
              <w:t>要求麦克风输出电平、输入阻抗与前置放大器匹配，灵敏度良好</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3B52965C">
            <w:pPr>
              <w:rPr>
                <w:rFonts w:hint="eastAsia" w:ascii="宋体" w:hAnsi="宋体" w:eastAsia="宋体" w:cs="宋体"/>
                <w:sz w:val="20"/>
                <w:szCs w:val="20"/>
              </w:rPr>
            </w:pPr>
            <w:r>
              <w:rPr>
                <w:rFonts w:hint="eastAsia" w:ascii="宋体" w:hAnsi="宋体" w:eastAsia="宋体" w:cs="宋体"/>
                <w:sz w:val="20"/>
                <w:szCs w:val="20"/>
              </w:rPr>
              <w:t>不合格扣1分</w:t>
            </w:r>
          </w:p>
        </w:tc>
        <w:tc>
          <w:tcPr>
            <w:tcW w:w="553" w:type="dxa"/>
            <w:tcBorders>
              <w:top w:val="single" w:color="auto" w:sz="4" w:space="0"/>
              <w:left w:val="single" w:color="auto" w:sz="4" w:space="0"/>
              <w:bottom w:val="single" w:color="auto" w:sz="4" w:space="0"/>
              <w:right w:val="single" w:color="auto" w:sz="4" w:space="0"/>
            </w:tcBorders>
            <w:noWrap w:val="0"/>
            <w:vAlign w:val="top"/>
          </w:tcPr>
          <w:p w14:paraId="6622E6F4">
            <w:pPr>
              <w:jc w:val="center"/>
              <w:rPr>
                <w:rFonts w:hint="eastAsia" w:ascii="宋体" w:hAnsi="宋体" w:eastAsia="宋体" w:cs="宋体"/>
                <w:sz w:val="20"/>
                <w:szCs w:val="20"/>
              </w:rPr>
            </w:pPr>
          </w:p>
        </w:tc>
        <w:tc>
          <w:tcPr>
            <w:tcW w:w="611" w:type="dxa"/>
            <w:tcBorders>
              <w:top w:val="single" w:color="auto" w:sz="4" w:space="0"/>
              <w:left w:val="single" w:color="auto" w:sz="4" w:space="0"/>
              <w:bottom w:val="single" w:color="auto" w:sz="4" w:space="0"/>
              <w:right w:val="single" w:color="auto" w:sz="4" w:space="0"/>
            </w:tcBorders>
            <w:noWrap w:val="0"/>
            <w:vAlign w:val="center"/>
          </w:tcPr>
          <w:p w14:paraId="6A1F365D">
            <w:pPr>
              <w:jc w:val="center"/>
              <w:rPr>
                <w:rFonts w:hint="eastAsia" w:ascii="宋体" w:hAnsi="宋体" w:eastAsia="宋体" w:cs="宋体"/>
                <w:b/>
                <w:sz w:val="20"/>
                <w:szCs w:val="20"/>
              </w:rPr>
            </w:pPr>
            <w:r>
              <w:rPr>
                <w:rFonts w:hint="eastAsia" w:ascii="宋体" w:hAnsi="宋体" w:eastAsia="宋体" w:cs="宋体"/>
                <w:b/>
                <w:sz w:val="20"/>
                <w:szCs w:val="20"/>
              </w:rPr>
              <w:t>ⅴ</w:t>
            </w:r>
          </w:p>
        </w:tc>
        <w:tc>
          <w:tcPr>
            <w:tcW w:w="481" w:type="dxa"/>
            <w:tcBorders>
              <w:top w:val="single" w:color="auto" w:sz="4" w:space="0"/>
              <w:left w:val="single" w:color="auto" w:sz="4" w:space="0"/>
              <w:bottom w:val="single" w:color="auto" w:sz="4" w:space="0"/>
              <w:right w:val="single" w:color="auto" w:sz="4" w:space="0"/>
            </w:tcBorders>
            <w:noWrap w:val="0"/>
            <w:vAlign w:val="top"/>
          </w:tcPr>
          <w:p w14:paraId="7742048C">
            <w:pPr>
              <w:jc w:val="center"/>
              <w:rPr>
                <w:rFonts w:hint="eastAsia" w:ascii="宋体" w:hAnsi="宋体" w:eastAsia="宋体" w:cs="宋体"/>
                <w:sz w:val="20"/>
                <w:szCs w:val="20"/>
              </w:rPr>
            </w:pPr>
          </w:p>
        </w:tc>
      </w:tr>
      <w:tr w14:paraId="37368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jc w:val="center"/>
        </w:trPr>
        <w:tc>
          <w:tcPr>
            <w:tcW w:w="528" w:type="dxa"/>
            <w:vMerge w:val="continue"/>
            <w:tcBorders>
              <w:top w:val="single" w:color="auto" w:sz="4" w:space="0"/>
              <w:left w:val="single" w:color="auto" w:sz="4" w:space="0"/>
              <w:bottom w:val="single" w:color="auto" w:sz="4" w:space="0"/>
              <w:right w:val="single" w:color="auto" w:sz="4" w:space="0"/>
            </w:tcBorders>
            <w:noWrap w:val="0"/>
            <w:vAlign w:val="center"/>
          </w:tcPr>
          <w:p w14:paraId="50EAADBC">
            <w:pPr>
              <w:widowControl/>
              <w:jc w:val="left"/>
              <w:rPr>
                <w:rFonts w:hint="eastAsia" w:ascii="宋体" w:hAnsi="宋体" w:eastAsia="宋体" w:cs="宋体"/>
                <w:sz w:val="20"/>
                <w:szCs w:val="20"/>
              </w:rPr>
            </w:pPr>
          </w:p>
        </w:tc>
        <w:tc>
          <w:tcPr>
            <w:tcW w:w="528" w:type="dxa"/>
            <w:vMerge w:val="continue"/>
            <w:tcBorders>
              <w:top w:val="single" w:color="auto" w:sz="4" w:space="0"/>
              <w:left w:val="single" w:color="auto" w:sz="4" w:space="0"/>
              <w:bottom w:val="single" w:color="auto" w:sz="4" w:space="0"/>
              <w:right w:val="single" w:color="auto" w:sz="4" w:space="0"/>
            </w:tcBorders>
            <w:noWrap w:val="0"/>
            <w:vAlign w:val="center"/>
          </w:tcPr>
          <w:p w14:paraId="712E4BD8">
            <w:pPr>
              <w:widowControl/>
              <w:jc w:val="left"/>
              <w:rPr>
                <w:rFonts w:hint="eastAsia" w:ascii="宋体" w:hAnsi="宋体" w:eastAsia="宋体" w:cs="宋体"/>
                <w:kern w:val="0"/>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A1DE93D">
            <w:pPr>
              <w:rPr>
                <w:rFonts w:hint="eastAsia" w:ascii="宋体" w:hAnsi="宋体" w:eastAsia="宋体" w:cs="宋体"/>
                <w:sz w:val="20"/>
                <w:szCs w:val="20"/>
              </w:rPr>
            </w:pPr>
            <w:r>
              <w:rPr>
                <w:rFonts w:hint="eastAsia" w:ascii="宋体" w:hAnsi="宋体" w:eastAsia="宋体" w:cs="宋体"/>
                <w:sz w:val="20"/>
                <w:szCs w:val="20"/>
              </w:rPr>
              <w:t>音源机械传动部件工作状况</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668E5714">
            <w:pPr>
              <w:rPr>
                <w:rFonts w:hint="eastAsia" w:ascii="宋体" w:hAnsi="宋体" w:eastAsia="宋体" w:cs="宋体"/>
                <w:sz w:val="20"/>
                <w:szCs w:val="20"/>
              </w:rPr>
            </w:pPr>
          </w:p>
          <w:p w14:paraId="4AB0880E">
            <w:pPr>
              <w:rPr>
                <w:rFonts w:hint="eastAsia" w:ascii="宋体" w:hAnsi="宋体" w:eastAsia="宋体" w:cs="宋体"/>
                <w:sz w:val="20"/>
                <w:szCs w:val="20"/>
              </w:rPr>
            </w:pPr>
            <w:r>
              <w:rPr>
                <w:rFonts w:hint="eastAsia" w:ascii="宋体" w:hAnsi="宋体" w:eastAsia="宋体" w:cs="宋体"/>
                <w:sz w:val="20"/>
                <w:szCs w:val="20"/>
              </w:rPr>
              <w:t>对其传动部件定期除尘，加注轻质仪表油，保持良好运行状态</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1A9E3F79">
            <w:pPr>
              <w:spacing w:line="24" w:lineRule="auto"/>
              <w:rPr>
                <w:rFonts w:hint="eastAsia" w:ascii="宋体" w:hAnsi="宋体" w:eastAsia="宋体" w:cs="宋体"/>
                <w:sz w:val="20"/>
                <w:szCs w:val="20"/>
              </w:rPr>
            </w:pPr>
          </w:p>
          <w:p w14:paraId="717F2B8F">
            <w:pPr>
              <w:rPr>
                <w:rFonts w:hint="eastAsia" w:ascii="宋体" w:hAnsi="宋体" w:eastAsia="宋体" w:cs="宋体"/>
                <w:sz w:val="20"/>
                <w:szCs w:val="20"/>
              </w:rPr>
            </w:pPr>
          </w:p>
          <w:p w14:paraId="6A465AF1">
            <w:pPr>
              <w:rPr>
                <w:rFonts w:hint="eastAsia" w:ascii="宋体" w:hAnsi="宋体" w:eastAsia="宋体" w:cs="宋体"/>
                <w:sz w:val="20"/>
                <w:szCs w:val="20"/>
              </w:rPr>
            </w:pPr>
          </w:p>
          <w:p w14:paraId="4A64F124">
            <w:pPr>
              <w:rPr>
                <w:rFonts w:hint="eastAsia" w:ascii="宋体" w:hAnsi="宋体" w:eastAsia="宋体" w:cs="宋体"/>
                <w:sz w:val="20"/>
                <w:szCs w:val="20"/>
              </w:rPr>
            </w:pPr>
            <w:r>
              <w:rPr>
                <w:rFonts w:hint="eastAsia" w:ascii="宋体" w:hAnsi="宋体" w:eastAsia="宋体" w:cs="宋体"/>
                <w:sz w:val="20"/>
                <w:szCs w:val="20"/>
              </w:rPr>
              <w:t>不合格扣0.5分</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30461BAC">
            <w:pPr>
              <w:jc w:val="center"/>
              <w:rPr>
                <w:rFonts w:hint="eastAsia" w:ascii="宋体" w:hAnsi="宋体" w:eastAsia="宋体" w:cs="宋体"/>
                <w:sz w:val="20"/>
                <w:szCs w:val="20"/>
              </w:rPr>
            </w:pPr>
          </w:p>
        </w:tc>
        <w:tc>
          <w:tcPr>
            <w:tcW w:w="611" w:type="dxa"/>
            <w:tcBorders>
              <w:top w:val="single" w:color="auto" w:sz="4" w:space="0"/>
              <w:left w:val="single" w:color="auto" w:sz="4" w:space="0"/>
              <w:bottom w:val="single" w:color="auto" w:sz="4" w:space="0"/>
              <w:right w:val="single" w:color="auto" w:sz="4" w:space="0"/>
            </w:tcBorders>
            <w:noWrap w:val="0"/>
            <w:vAlign w:val="center"/>
          </w:tcPr>
          <w:p w14:paraId="1CCDBDCF">
            <w:pPr>
              <w:jc w:val="center"/>
              <w:rPr>
                <w:rFonts w:hint="eastAsia" w:ascii="宋体" w:hAnsi="宋体" w:eastAsia="宋体" w:cs="宋体"/>
                <w:b/>
                <w:sz w:val="20"/>
                <w:szCs w:val="20"/>
              </w:rPr>
            </w:pPr>
            <w:r>
              <w:rPr>
                <w:rFonts w:hint="eastAsia" w:ascii="宋体" w:hAnsi="宋体" w:eastAsia="宋体" w:cs="宋体"/>
                <w:b/>
                <w:sz w:val="20"/>
                <w:szCs w:val="20"/>
              </w:rPr>
              <w:t>ⅴ</w:t>
            </w:r>
          </w:p>
        </w:tc>
        <w:tc>
          <w:tcPr>
            <w:tcW w:w="481" w:type="dxa"/>
            <w:tcBorders>
              <w:top w:val="single" w:color="auto" w:sz="4" w:space="0"/>
              <w:left w:val="single" w:color="auto" w:sz="4" w:space="0"/>
              <w:bottom w:val="single" w:color="auto" w:sz="4" w:space="0"/>
              <w:right w:val="single" w:color="auto" w:sz="4" w:space="0"/>
            </w:tcBorders>
            <w:noWrap w:val="0"/>
            <w:vAlign w:val="center"/>
          </w:tcPr>
          <w:p w14:paraId="1E19BB79">
            <w:pPr>
              <w:jc w:val="center"/>
              <w:rPr>
                <w:rFonts w:hint="eastAsia" w:ascii="宋体" w:hAnsi="宋体" w:eastAsia="宋体" w:cs="宋体"/>
                <w:sz w:val="20"/>
                <w:szCs w:val="20"/>
              </w:rPr>
            </w:pPr>
          </w:p>
        </w:tc>
      </w:tr>
      <w:tr w14:paraId="47EB7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1" w:hRule="atLeast"/>
          <w:jc w:val="center"/>
        </w:trPr>
        <w:tc>
          <w:tcPr>
            <w:tcW w:w="528" w:type="dxa"/>
            <w:vMerge w:val="continue"/>
            <w:tcBorders>
              <w:top w:val="single" w:color="auto" w:sz="4" w:space="0"/>
              <w:left w:val="single" w:color="auto" w:sz="4" w:space="0"/>
              <w:bottom w:val="single" w:color="auto" w:sz="4" w:space="0"/>
              <w:right w:val="single" w:color="auto" w:sz="4" w:space="0"/>
            </w:tcBorders>
            <w:noWrap w:val="0"/>
            <w:vAlign w:val="center"/>
          </w:tcPr>
          <w:p w14:paraId="651FBD21">
            <w:pPr>
              <w:widowControl/>
              <w:jc w:val="left"/>
              <w:rPr>
                <w:rFonts w:hint="eastAsia" w:ascii="宋体" w:hAnsi="宋体" w:eastAsia="宋体" w:cs="宋体"/>
                <w:sz w:val="20"/>
                <w:szCs w:val="20"/>
              </w:rPr>
            </w:pPr>
          </w:p>
        </w:tc>
        <w:tc>
          <w:tcPr>
            <w:tcW w:w="528" w:type="dxa"/>
            <w:tcBorders>
              <w:top w:val="single" w:color="auto" w:sz="4" w:space="0"/>
              <w:left w:val="single" w:color="auto" w:sz="4" w:space="0"/>
              <w:bottom w:val="single" w:color="auto" w:sz="4" w:space="0"/>
              <w:right w:val="single" w:color="auto" w:sz="4" w:space="0"/>
            </w:tcBorders>
            <w:noWrap w:val="0"/>
            <w:textDirection w:val="tbRlV"/>
            <w:vAlign w:val="center"/>
          </w:tcPr>
          <w:p w14:paraId="433D5178">
            <w:pPr>
              <w:ind w:left="113" w:right="113"/>
              <w:jc w:val="center"/>
              <w:rPr>
                <w:rFonts w:hint="eastAsia" w:ascii="宋体" w:hAnsi="宋体" w:eastAsia="宋体" w:cs="宋体"/>
                <w:sz w:val="20"/>
                <w:szCs w:val="20"/>
              </w:rPr>
            </w:pPr>
            <w:r>
              <w:rPr>
                <w:rFonts w:hint="eastAsia" w:ascii="宋体" w:hAnsi="宋体" w:eastAsia="宋体" w:cs="宋体"/>
                <w:sz w:val="20"/>
                <w:szCs w:val="20"/>
              </w:rPr>
              <w:t>扬声器</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4F30B27">
            <w:pPr>
              <w:rPr>
                <w:rFonts w:hint="eastAsia" w:ascii="宋体" w:hAnsi="宋体" w:eastAsia="宋体" w:cs="宋体"/>
                <w:sz w:val="20"/>
                <w:szCs w:val="20"/>
              </w:rPr>
            </w:pPr>
            <w:r>
              <w:rPr>
                <w:rFonts w:hint="eastAsia" w:ascii="宋体" w:hAnsi="宋体" w:eastAsia="宋体" w:cs="宋体"/>
                <w:sz w:val="20"/>
                <w:szCs w:val="20"/>
              </w:rPr>
              <w:t>检查各个扬声器工作状况</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296445B5">
            <w:pPr>
              <w:rPr>
                <w:rFonts w:hint="eastAsia" w:ascii="宋体" w:hAnsi="宋体" w:eastAsia="宋体" w:cs="宋体"/>
                <w:sz w:val="20"/>
                <w:szCs w:val="20"/>
              </w:rPr>
            </w:pPr>
            <w:r>
              <w:rPr>
                <w:rFonts w:hint="eastAsia" w:ascii="宋体" w:hAnsi="宋体" w:eastAsia="宋体" w:cs="宋体"/>
                <w:sz w:val="20"/>
                <w:szCs w:val="20"/>
              </w:rPr>
              <w:t>要求扬声器固定、接线牢靠，纸盆无潮湿、破损，输出音质清晰</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6D9D9227">
            <w:pPr>
              <w:rPr>
                <w:rFonts w:hint="eastAsia" w:ascii="宋体" w:hAnsi="宋体" w:eastAsia="宋体" w:cs="宋体"/>
                <w:sz w:val="20"/>
                <w:szCs w:val="20"/>
              </w:rPr>
            </w:pPr>
            <w:r>
              <w:rPr>
                <w:rFonts w:hint="eastAsia" w:ascii="宋体" w:hAnsi="宋体" w:eastAsia="宋体" w:cs="宋体"/>
                <w:sz w:val="20"/>
                <w:szCs w:val="20"/>
              </w:rPr>
              <w:t>不合格每一处扣0.5分</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472712B6">
            <w:pPr>
              <w:rPr>
                <w:rFonts w:hint="eastAsia" w:ascii="宋体" w:hAnsi="宋体" w:eastAsia="宋体" w:cs="宋体"/>
                <w:sz w:val="20"/>
                <w:szCs w:val="20"/>
              </w:rPr>
            </w:pPr>
          </w:p>
        </w:tc>
        <w:tc>
          <w:tcPr>
            <w:tcW w:w="611" w:type="dxa"/>
            <w:tcBorders>
              <w:top w:val="single" w:color="auto" w:sz="4" w:space="0"/>
              <w:left w:val="single" w:color="auto" w:sz="4" w:space="0"/>
              <w:bottom w:val="single" w:color="auto" w:sz="4" w:space="0"/>
              <w:right w:val="single" w:color="auto" w:sz="4" w:space="0"/>
            </w:tcBorders>
            <w:noWrap w:val="0"/>
            <w:vAlign w:val="center"/>
          </w:tcPr>
          <w:p w14:paraId="190059B9">
            <w:pPr>
              <w:rPr>
                <w:rFonts w:hint="eastAsia" w:ascii="宋体" w:hAnsi="宋体" w:eastAsia="宋体" w:cs="宋体"/>
                <w:sz w:val="20"/>
                <w:szCs w:val="20"/>
              </w:rPr>
            </w:pPr>
          </w:p>
        </w:tc>
        <w:tc>
          <w:tcPr>
            <w:tcW w:w="481" w:type="dxa"/>
            <w:tcBorders>
              <w:top w:val="single" w:color="auto" w:sz="4" w:space="0"/>
              <w:left w:val="single" w:color="auto" w:sz="4" w:space="0"/>
              <w:bottom w:val="single" w:color="auto" w:sz="4" w:space="0"/>
              <w:right w:val="single" w:color="auto" w:sz="4" w:space="0"/>
            </w:tcBorders>
            <w:noWrap w:val="0"/>
            <w:vAlign w:val="center"/>
          </w:tcPr>
          <w:p w14:paraId="2209F7AF">
            <w:pPr>
              <w:jc w:val="center"/>
              <w:rPr>
                <w:rFonts w:hint="eastAsia" w:ascii="宋体" w:hAnsi="宋体" w:eastAsia="宋体" w:cs="宋体"/>
                <w:b/>
                <w:sz w:val="20"/>
                <w:szCs w:val="20"/>
              </w:rPr>
            </w:pPr>
            <w:r>
              <w:rPr>
                <w:rFonts w:hint="eastAsia" w:ascii="宋体" w:hAnsi="宋体" w:eastAsia="宋体" w:cs="宋体"/>
                <w:b/>
                <w:sz w:val="20"/>
                <w:szCs w:val="20"/>
              </w:rPr>
              <w:t>ⅴ</w:t>
            </w:r>
          </w:p>
        </w:tc>
      </w:tr>
      <w:tr w14:paraId="079E8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6" w:hRule="atLeast"/>
          <w:jc w:val="center"/>
        </w:trPr>
        <w:tc>
          <w:tcPr>
            <w:tcW w:w="528" w:type="dxa"/>
            <w:tcBorders>
              <w:top w:val="single" w:color="auto" w:sz="4" w:space="0"/>
              <w:left w:val="single" w:color="auto" w:sz="4" w:space="0"/>
              <w:bottom w:val="single" w:color="auto" w:sz="4" w:space="0"/>
              <w:right w:val="single" w:color="auto" w:sz="4" w:space="0"/>
            </w:tcBorders>
            <w:noWrap w:val="0"/>
            <w:textDirection w:val="tbRlV"/>
            <w:vAlign w:val="bottom"/>
          </w:tcPr>
          <w:p w14:paraId="0D6B33A6">
            <w:pPr>
              <w:widowControl/>
              <w:ind w:left="113" w:right="113"/>
              <w:rPr>
                <w:rFonts w:hint="eastAsia" w:ascii="宋体" w:hAnsi="宋体" w:eastAsia="宋体" w:cs="宋体"/>
                <w:sz w:val="20"/>
                <w:szCs w:val="20"/>
              </w:rPr>
            </w:pPr>
            <w:r>
              <w:rPr>
                <w:rFonts w:hint="eastAsia" w:ascii="宋体" w:hAnsi="宋体" w:eastAsia="宋体" w:cs="宋体"/>
                <w:sz w:val="20"/>
                <w:szCs w:val="20"/>
              </w:rPr>
              <w:t>对讲电话系统</w:t>
            </w:r>
          </w:p>
          <w:p w14:paraId="25A30C28">
            <w:pPr>
              <w:widowControl/>
              <w:ind w:left="113" w:right="113"/>
              <w:rPr>
                <w:rFonts w:hint="eastAsia" w:ascii="宋体" w:hAnsi="宋体" w:eastAsia="宋体" w:cs="宋体"/>
                <w:sz w:val="20"/>
                <w:szCs w:val="20"/>
              </w:rPr>
            </w:pPr>
            <w:r>
              <w:rPr>
                <w:rFonts w:hint="eastAsia" w:ascii="宋体" w:hAnsi="宋体" w:cs="宋体"/>
                <w:sz w:val="20"/>
                <w:szCs w:val="20"/>
                <w:lang w:eastAsia="zh-CN"/>
              </w:rPr>
              <w:t>（</w:t>
            </w:r>
            <w:r>
              <w:rPr>
                <w:rFonts w:hint="eastAsia" w:ascii="宋体" w:hAnsi="宋体" w:cs="宋体"/>
                <w:sz w:val="20"/>
                <w:szCs w:val="20"/>
                <w:lang w:val="en-US" w:eastAsia="zh-CN"/>
              </w:rPr>
              <w:t>分值10分</w:t>
            </w:r>
            <w:r>
              <w:rPr>
                <w:rFonts w:hint="eastAsia" w:ascii="宋体" w:hAnsi="宋体" w:cs="宋体"/>
                <w:sz w:val="20"/>
                <w:szCs w:val="20"/>
                <w:lang w:eastAsia="zh-CN"/>
              </w:rPr>
              <w:t>）</w:t>
            </w:r>
          </w:p>
        </w:tc>
        <w:tc>
          <w:tcPr>
            <w:tcW w:w="528" w:type="dxa"/>
            <w:tcBorders>
              <w:top w:val="single" w:color="auto" w:sz="4" w:space="0"/>
              <w:left w:val="single" w:color="auto" w:sz="4" w:space="0"/>
              <w:bottom w:val="single" w:color="auto" w:sz="4" w:space="0"/>
              <w:right w:val="single" w:color="auto" w:sz="4" w:space="0"/>
            </w:tcBorders>
            <w:noWrap w:val="0"/>
            <w:textDirection w:val="tbRlV"/>
            <w:vAlign w:val="center"/>
          </w:tcPr>
          <w:p w14:paraId="0EC59DF8">
            <w:pPr>
              <w:ind w:left="113" w:right="113"/>
              <w:jc w:val="center"/>
              <w:rPr>
                <w:rFonts w:hint="eastAsia" w:ascii="宋体" w:hAnsi="宋体" w:eastAsia="宋体" w:cs="宋体"/>
                <w:sz w:val="20"/>
                <w:szCs w:val="20"/>
              </w:rPr>
            </w:pPr>
            <w:r>
              <w:rPr>
                <w:rFonts w:hint="eastAsia" w:ascii="宋体" w:hAnsi="宋体" w:eastAsia="宋体" w:cs="宋体"/>
                <w:sz w:val="20"/>
                <w:szCs w:val="20"/>
              </w:rPr>
              <w:t>对讲电话</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C13C310">
            <w:pPr>
              <w:jc w:val="center"/>
              <w:rPr>
                <w:rFonts w:hint="eastAsia" w:ascii="宋体" w:hAnsi="宋体" w:eastAsia="宋体" w:cs="宋体"/>
                <w:sz w:val="20"/>
                <w:szCs w:val="20"/>
              </w:rPr>
            </w:pPr>
            <w:r>
              <w:rPr>
                <w:rFonts w:hint="eastAsia" w:ascii="宋体" w:hAnsi="宋体" w:eastAsia="宋体" w:cs="宋体"/>
                <w:sz w:val="20"/>
                <w:szCs w:val="20"/>
              </w:rPr>
              <w:t>手动火灾报警按钮电话呼叫测试</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3C92D25A">
            <w:pPr>
              <w:rPr>
                <w:rFonts w:hint="eastAsia" w:ascii="宋体" w:hAnsi="宋体" w:eastAsia="宋体" w:cs="宋体"/>
                <w:sz w:val="20"/>
                <w:szCs w:val="20"/>
              </w:rPr>
            </w:pPr>
            <w:r>
              <w:rPr>
                <w:rFonts w:hint="eastAsia" w:ascii="宋体" w:hAnsi="宋体" w:eastAsia="宋体" w:cs="宋体"/>
                <w:sz w:val="20"/>
                <w:szCs w:val="20"/>
              </w:rPr>
              <w:t>用电话机就地接通手动火灾报警盒的电话插孔，主机能够接收到信号，显示地址号，通话音质清晰、无干扰</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2B60ED11">
            <w:pPr>
              <w:jc w:val="center"/>
              <w:rPr>
                <w:rFonts w:hint="eastAsia" w:ascii="宋体" w:hAnsi="宋体" w:eastAsia="宋体" w:cs="宋体"/>
                <w:sz w:val="20"/>
                <w:szCs w:val="20"/>
              </w:rPr>
            </w:pPr>
            <w:r>
              <w:rPr>
                <w:rFonts w:hint="eastAsia" w:ascii="宋体" w:hAnsi="宋体" w:eastAsia="宋体" w:cs="宋体"/>
                <w:sz w:val="20"/>
                <w:szCs w:val="20"/>
              </w:rPr>
              <w:t>不合格每一处扣0.5分</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3ECA2119">
            <w:pPr>
              <w:jc w:val="center"/>
              <w:rPr>
                <w:rFonts w:hint="eastAsia" w:ascii="宋体" w:hAnsi="宋体" w:eastAsia="宋体" w:cs="宋体"/>
                <w:sz w:val="20"/>
                <w:szCs w:val="20"/>
              </w:rPr>
            </w:pPr>
          </w:p>
        </w:tc>
        <w:tc>
          <w:tcPr>
            <w:tcW w:w="611" w:type="dxa"/>
            <w:tcBorders>
              <w:top w:val="single" w:color="auto" w:sz="4" w:space="0"/>
              <w:left w:val="single" w:color="auto" w:sz="4" w:space="0"/>
              <w:bottom w:val="single" w:color="auto" w:sz="4" w:space="0"/>
              <w:right w:val="single" w:color="auto" w:sz="4" w:space="0"/>
            </w:tcBorders>
            <w:noWrap w:val="0"/>
            <w:vAlign w:val="center"/>
          </w:tcPr>
          <w:p w14:paraId="7BBC7271">
            <w:pPr>
              <w:jc w:val="center"/>
              <w:rPr>
                <w:rFonts w:hint="eastAsia" w:ascii="宋体" w:hAnsi="宋体" w:eastAsia="宋体" w:cs="宋体"/>
                <w:b/>
                <w:sz w:val="20"/>
                <w:szCs w:val="20"/>
              </w:rPr>
            </w:pPr>
            <w:r>
              <w:rPr>
                <w:rFonts w:hint="eastAsia" w:ascii="宋体" w:hAnsi="宋体" w:eastAsia="宋体" w:cs="宋体"/>
                <w:b/>
                <w:sz w:val="20"/>
                <w:szCs w:val="20"/>
              </w:rPr>
              <w:t>ⅴ</w:t>
            </w:r>
          </w:p>
        </w:tc>
        <w:tc>
          <w:tcPr>
            <w:tcW w:w="481" w:type="dxa"/>
            <w:tcBorders>
              <w:top w:val="single" w:color="auto" w:sz="4" w:space="0"/>
              <w:left w:val="single" w:color="auto" w:sz="4" w:space="0"/>
              <w:bottom w:val="single" w:color="auto" w:sz="4" w:space="0"/>
              <w:right w:val="single" w:color="auto" w:sz="4" w:space="0"/>
            </w:tcBorders>
            <w:noWrap w:val="0"/>
            <w:vAlign w:val="center"/>
          </w:tcPr>
          <w:p w14:paraId="456EE76F">
            <w:pPr>
              <w:jc w:val="center"/>
              <w:rPr>
                <w:rFonts w:hint="eastAsia" w:ascii="宋体" w:hAnsi="宋体" w:eastAsia="宋体" w:cs="宋体"/>
                <w:sz w:val="20"/>
                <w:szCs w:val="20"/>
              </w:rPr>
            </w:pPr>
          </w:p>
        </w:tc>
      </w:tr>
    </w:tbl>
    <w:p w14:paraId="071B32F2">
      <w:pPr>
        <w:snapToGrid w:val="0"/>
        <w:spacing w:line="480" w:lineRule="auto"/>
        <w:jc w:val="left"/>
        <w:rPr>
          <w:rFonts w:ascii="Times New Roman" w:hAnsi="Times New Roman" w:eastAsia="宋体" w:cs="Times New Roman"/>
          <w:bCs/>
          <w:sz w:val="24"/>
          <w:szCs w:val="20"/>
        </w:rPr>
      </w:pP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0"/>
        <w:gridCol w:w="490"/>
        <w:gridCol w:w="3102"/>
        <w:gridCol w:w="2452"/>
        <w:gridCol w:w="1221"/>
        <w:gridCol w:w="416"/>
        <w:gridCol w:w="417"/>
        <w:gridCol w:w="417"/>
      </w:tblGrid>
      <w:tr w14:paraId="1D656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0" w:type="auto"/>
            <w:gridSpan w:val="2"/>
            <w:vMerge w:val="restart"/>
            <w:tcBorders>
              <w:top w:val="single" w:color="auto" w:sz="4" w:space="0"/>
              <w:left w:val="single" w:color="auto" w:sz="4" w:space="0"/>
              <w:bottom w:val="single" w:color="auto" w:sz="4" w:space="0"/>
              <w:right w:val="single" w:color="auto" w:sz="4" w:space="0"/>
              <w:tl2br w:val="single" w:color="auto" w:sz="4" w:space="0"/>
            </w:tcBorders>
            <w:noWrap w:val="0"/>
            <w:vAlign w:val="top"/>
          </w:tcPr>
          <w:p w14:paraId="74DDA496">
            <w:pPr>
              <w:jc w:val="center"/>
              <w:rPr>
                <w:rFonts w:hint="eastAsia" w:ascii="宋体" w:hAnsi="宋体" w:eastAsia="宋体" w:cs="宋体"/>
                <w:sz w:val="20"/>
                <w:szCs w:val="20"/>
              </w:rPr>
            </w:pPr>
            <w:r>
              <w:rPr>
                <w:rFonts w:hint="eastAsia" w:ascii="宋体" w:hAnsi="宋体" w:eastAsia="宋体" w:cs="宋体"/>
                <w:sz w:val="20"/>
                <w:szCs w:val="20"/>
              </w:rPr>
              <w:t xml:space="preserve">       分项要求</w:t>
            </w:r>
          </w:p>
          <w:p w14:paraId="7F266245">
            <w:pPr>
              <w:rPr>
                <w:rFonts w:hint="eastAsia" w:ascii="宋体" w:hAnsi="宋体" w:eastAsia="宋体" w:cs="宋体"/>
                <w:sz w:val="20"/>
                <w:szCs w:val="20"/>
              </w:rPr>
            </w:pPr>
            <w:r>
              <w:rPr>
                <w:rFonts w:hint="eastAsia" w:ascii="宋体" w:hAnsi="宋体" w:eastAsia="宋体" w:cs="宋体"/>
                <w:sz w:val="20"/>
                <w:szCs w:val="20"/>
              </w:rPr>
              <w:t>系统分类</w:t>
            </w:r>
          </w:p>
        </w:tc>
        <w:tc>
          <w:tcPr>
            <w:tcW w:w="3961" w:type="dxa"/>
            <w:vMerge w:val="restart"/>
            <w:tcBorders>
              <w:top w:val="single" w:color="auto" w:sz="4" w:space="0"/>
              <w:left w:val="single" w:color="auto" w:sz="4" w:space="0"/>
              <w:bottom w:val="single" w:color="auto" w:sz="4" w:space="0"/>
              <w:right w:val="single" w:color="auto" w:sz="4" w:space="0"/>
            </w:tcBorders>
            <w:noWrap w:val="0"/>
            <w:vAlign w:val="center"/>
          </w:tcPr>
          <w:p w14:paraId="651AD01A">
            <w:pPr>
              <w:jc w:val="center"/>
              <w:rPr>
                <w:rFonts w:hint="eastAsia" w:ascii="宋体" w:hAnsi="宋体" w:eastAsia="宋体" w:cs="宋体"/>
                <w:sz w:val="20"/>
                <w:szCs w:val="20"/>
              </w:rPr>
            </w:pPr>
            <w:r>
              <w:rPr>
                <w:rFonts w:hint="eastAsia" w:ascii="宋体" w:hAnsi="宋体" w:eastAsia="宋体" w:cs="宋体"/>
                <w:sz w:val="20"/>
                <w:szCs w:val="20"/>
              </w:rPr>
              <w:t>维护保养项目</w:t>
            </w:r>
          </w:p>
        </w:tc>
        <w:tc>
          <w:tcPr>
            <w:tcW w:w="5489" w:type="dxa"/>
            <w:vMerge w:val="restart"/>
            <w:tcBorders>
              <w:top w:val="single" w:color="auto" w:sz="4" w:space="0"/>
              <w:left w:val="single" w:color="auto" w:sz="4" w:space="0"/>
              <w:bottom w:val="single" w:color="auto" w:sz="4" w:space="0"/>
              <w:right w:val="single" w:color="auto" w:sz="4" w:space="0"/>
            </w:tcBorders>
            <w:noWrap w:val="0"/>
            <w:vAlign w:val="center"/>
          </w:tcPr>
          <w:p w14:paraId="1D8E64EE">
            <w:pPr>
              <w:jc w:val="center"/>
              <w:rPr>
                <w:rFonts w:hint="eastAsia" w:ascii="宋体" w:hAnsi="宋体" w:eastAsia="宋体" w:cs="宋体"/>
                <w:sz w:val="20"/>
                <w:szCs w:val="20"/>
              </w:rPr>
            </w:pPr>
            <w:r>
              <w:rPr>
                <w:rFonts w:hint="eastAsia" w:ascii="宋体" w:hAnsi="宋体" w:eastAsia="宋体" w:cs="宋体"/>
                <w:sz w:val="20"/>
                <w:szCs w:val="20"/>
              </w:rPr>
              <w:t>合格标准</w:t>
            </w:r>
          </w:p>
        </w:tc>
        <w:tc>
          <w:tcPr>
            <w:tcW w:w="2418" w:type="dxa"/>
            <w:vMerge w:val="restart"/>
            <w:tcBorders>
              <w:top w:val="single" w:color="auto" w:sz="4" w:space="0"/>
              <w:left w:val="single" w:color="auto" w:sz="4" w:space="0"/>
              <w:bottom w:val="single" w:color="auto" w:sz="4" w:space="0"/>
              <w:right w:val="single" w:color="auto" w:sz="4" w:space="0"/>
            </w:tcBorders>
            <w:noWrap w:val="0"/>
            <w:vAlign w:val="center"/>
          </w:tcPr>
          <w:p w14:paraId="44558348">
            <w:pPr>
              <w:jc w:val="center"/>
              <w:rPr>
                <w:rFonts w:hint="eastAsia" w:ascii="宋体" w:hAnsi="宋体" w:eastAsia="宋体" w:cs="宋体"/>
                <w:sz w:val="20"/>
                <w:szCs w:val="20"/>
              </w:rPr>
            </w:pPr>
            <w:r>
              <w:rPr>
                <w:rFonts w:hint="eastAsia" w:ascii="宋体" w:hAnsi="宋体" w:eastAsia="宋体" w:cs="宋体"/>
                <w:sz w:val="20"/>
                <w:szCs w:val="20"/>
              </w:rPr>
              <w:t>扣分标准（参考）</w:t>
            </w:r>
          </w:p>
        </w:tc>
        <w:tc>
          <w:tcPr>
            <w:tcW w:w="0" w:type="auto"/>
            <w:gridSpan w:val="3"/>
            <w:tcBorders>
              <w:top w:val="single" w:color="auto" w:sz="4" w:space="0"/>
              <w:left w:val="single" w:color="auto" w:sz="4" w:space="0"/>
              <w:bottom w:val="single" w:color="auto" w:sz="4" w:space="0"/>
              <w:right w:val="single" w:color="auto" w:sz="4" w:space="0"/>
            </w:tcBorders>
            <w:noWrap w:val="0"/>
            <w:vAlign w:val="center"/>
          </w:tcPr>
          <w:p w14:paraId="212CF04B">
            <w:pPr>
              <w:jc w:val="center"/>
              <w:rPr>
                <w:rFonts w:hint="eastAsia" w:ascii="宋体" w:hAnsi="宋体" w:eastAsia="宋体" w:cs="宋体"/>
                <w:sz w:val="20"/>
                <w:szCs w:val="20"/>
              </w:rPr>
            </w:pPr>
            <w:r>
              <w:rPr>
                <w:rFonts w:hint="eastAsia" w:ascii="宋体" w:hAnsi="宋体" w:eastAsia="宋体" w:cs="宋体"/>
                <w:sz w:val="20"/>
                <w:szCs w:val="20"/>
              </w:rPr>
              <w:t>工 作 频 次</w:t>
            </w:r>
          </w:p>
        </w:tc>
      </w:tr>
      <w:tr w14:paraId="135EA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0" w:type="auto"/>
            <w:gridSpan w:val="2"/>
            <w:vMerge w:val="continue"/>
            <w:tcBorders>
              <w:top w:val="single" w:color="auto" w:sz="4" w:space="0"/>
              <w:left w:val="single" w:color="auto" w:sz="4" w:space="0"/>
              <w:bottom w:val="single" w:color="auto" w:sz="4" w:space="0"/>
              <w:right w:val="single" w:color="auto" w:sz="4" w:space="0"/>
              <w:tl2br w:val="single" w:color="auto" w:sz="4" w:space="0"/>
            </w:tcBorders>
            <w:noWrap w:val="0"/>
            <w:vAlign w:val="center"/>
          </w:tcPr>
          <w:p w14:paraId="29BCD96A">
            <w:pPr>
              <w:widowControl/>
              <w:jc w:val="left"/>
              <w:rPr>
                <w:rFonts w:hint="eastAsia" w:ascii="宋体" w:hAnsi="宋体" w:eastAsia="宋体" w:cs="宋体"/>
                <w:sz w:val="20"/>
                <w:szCs w:val="20"/>
              </w:rPr>
            </w:pPr>
          </w:p>
        </w:tc>
        <w:tc>
          <w:tcPr>
            <w:tcW w:w="3961" w:type="dxa"/>
            <w:vMerge w:val="continue"/>
            <w:tcBorders>
              <w:top w:val="single" w:color="auto" w:sz="4" w:space="0"/>
              <w:left w:val="single" w:color="auto" w:sz="4" w:space="0"/>
              <w:bottom w:val="single" w:color="auto" w:sz="4" w:space="0"/>
              <w:right w:val="single" w:color="auto" w:sz="4" w:space="0"/>
            </w:tcBorders>
            <w:noWrap w:val="0"/>
            <w:vAlign w:val="center"/>
          </w:tcPr>
          <w:p w14:paraId="76571CAF">
            <w:pPr>
              <w:widowControl/>
              <w:jc w:val="left"/>
              <w:rPr>
                <w:rFonts w:hint="eastAsia" w:ascii="宋体" w:hAnsi="宋体" w:eastAsia="宋体" w:cs="宋体"/>
                <w:sz w:val="20"/>
                <w:szCs w:val="20"/>
              </w:rPr>
            </w:pPr>
          </w:p>
        </w:tc>
        <w:tc>
          <w:tcPr>
            <w:tcW w:w="5489" w:type="dxa"/>
            <w:vMerge w:val="continue"/>
            <w:tcBorders>
              <w:top w:val="single" w:color="auto" w:sz="4" w:space="0"/>
              <w:left w:val="single" w:color="auto" w:sz="4" w:space="0"/>
              <w:bottom w:val="single" w:color="auto" w:sz="4" w:space="0"/>
              <w:right w:val="single" w:color="auto" w:sz="4" w:space="0"/>
            </w:tcBorders>
            <w:noWrap w:val="0"/>
            <w:vAlign w:val="center"/>
          </w:tcPr>
          <w:p w14:paraId="53E8CA89">
            <w:pPr>
              <w:widowControl/>
              <w:jc w:val="left"/>
              <w:rPr>
                <w:rFonts w:hint="eastAsia" w:ascii="宋体" w:hAnsi="宋体" w:eastAsia="宋体" w:cs="宋体"/>
                <w:sz w:val="20"/>
                <w:szCs w:val="20"/>
              </w:rPr>
            </w:pPr>
          </w:p>
        </w:tc>
        <w:tc>
          <w:tcPr>
            <w:tcW w:w="2418" w:type="dxa"/>
            <w:vMerge w:val="continue"/>
            <w:tcBorders>
              <w:top w:val="single" w:color="auto" w:sz="4" w:space="0"/>
              <w:left w:val="single" w:color="auto" w:sz="4" w:space="0"/>
              <w:bottom w:val="single" w:color="auto" w:sz="4" w:space="0"/>
              <w:right w:val="single" w:color="auto" w:sz="4" w:space="0"/>
            </w:tcBorders>
            <w:noWrap w:val="0"/>
            <w:vAlign w:val="center"/>
          </w:tcPr>
          <w:p w14:paraId="625F9E6F">
            <w:pPr>
              <w:widowControl/>
              <w:jc w:val="left"/>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99CA418">
            <w:pPr>
              <w:jc w:val="center"/>
              <w:rPr>
                <w:rFonts w:hint="eastAsia" w:ascii="宋体" w:hAnsi="宋体" w:eastAsia="宋体" w:cs="宋体"/>
                <w:sz w:val="20"/>
                <w:szCs w:val="20"/>
              </w:rPr>
            </w:pPr>
            <w:r>
              <w:rPr>
                <w:rFonts w:hint="eastAsia" w:ascii="宋体" w:hAnsi="宋体" w:eastAsia="宋体" w:cs="宋体"/>
                <w:sz w:val="20"/>
                <w:szCs w:val="20"/>
              </w:rPr>
              <w:t>周</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52735DA">
            <w:pPr>
              <w:jc w:val="center"/>
              <w:rPr>
                <w:rFonts w:hint="eastAsia" w:ascii="宋体" w:hAnsi="宋体" w:eastAsia="宋体" w:cs="宋体"/>
                <w:sz w:val="20"/>
                <w:szCs w:val="20"/>
              </w:rPr>
            </w:pPr>
            <w:r>
              <w:rPr>
                <w:rFonts w:hint="eastAsia" w:ascii="宋体" w:hAnsi="宋体" w:eastAsia="宋体" w:cs="宋体"/>
                <w:sz w:val="20"/>
                <w:szCs w:val="20"/>
              </w:rPr>
              <w:t>月</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40D5063">
            <w:pPr>
              <w:jc w:val="center"/>
              <w:rPr>
                <w:rFonts w:hint="eastAsia" w:ascii="宋体" w:hAnsi="宋体" w:eastAsia="宋体" w:cs="宋体"/>
                <w:sz w:val="20"/>
                <w:szCs w:val="20"/>
              </w:rPr>
            </w:pPr>
            <w:r>
              <w:rPr>
                <w:rFonts w:hint="eastAsia" w:ascii="宋体" w:hAnsi="宋体" w:eastAsia="宋体" w:cs="宋体"/>
                <w:sz w:val="20"/>
                <w:szCs w:val="20"/>
              </w:rPr>
              <w:t>季</w:t>
            </w:r>
          </w:p>
        </w:tc>
      </w:tr>
      <w:tr w14:paraId="3E9DC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8" w:hRule="atLeast"/>
          <w:jc w:val="center"/>
        </w:trPr>
        <w:tc>
          <w:tcPr>
            <w:tcW w:w="0" w:type="auto"/>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21DEDC49">
            <w:pPr>
              <w:ind w:left="113" w:right="113"/>
              <w:jc w:val="center"/>
              <w:rPr>
                <w:rFonts w:hint="eastAsia" w:ascii="宋体" w:hAnsi="宋体" w:eastAsia="宋体" w:cs="宋体"/>
                <w:sz w:val="20"/>
                <w:szCs w:val="20"/>
              </w:rPr>
            </w:pPr>
            <w:r>
              <w:rPr>
                <w:rFonts w:hint="eastAsia" w:ascii="宋体" w:hAnsi="宋体" w:eastAsia="宋体" w:cs="宋体"/>
                <w:sz w:val="20"/>
                <w:szCs w:val="20"/>
              </w:rPr>
              <w:t>二氧化碳气体灭火系统</w:t>
            </w:r>
          </w:p>
        </w:tc>
        <w:tc>
          <w:tcPr>
            <w:tcW w:w="0" w:type="auto"/>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1C36ED02">
            <w:pPr>
              <w:widowControl/>
              <w:spacing w:before="100" w:beforeAutospacing="1" w:after="100" w:afterAutospacing="1"/>
              <w:jc w:val="center"/>
              <w:rPr>
                <w:rFonts w:hint="eastAsia" w:ascii="宋体" w:hAnsi="宋体" w:eastAsia="宋体" w:cs="宋体"/>
                <w:kern w:val="0"/>
                <w:sz w:val="20"/>
                <w:szCs w:val="20"/>
              </w:rPr>
            </w:pPr>
            <w:r>
              <w:rPr>
                <w:rFonts w:hint="eastAsia" w:ascii="宋体" w:hAnsi="宋体" w:eastAsia="宋体" w:cs="宋体"/>
                <w:kern w:val="0"/>
                <w:sz w:val="20"/>
                <w:szCs w:val="20"/>
              </w:rPr>
              <w:t>灭火电气控制</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9F01379">
            <w:pPr>
              <w:rPr>
                <w:rFonts w:hint="eastAsia" w:ascii="宋体" w:hAnsi="宋体" w:eastAsia="宋体" w:cs="宋体"/>
                <w:sz w:val="20"/>
                <w:szCs w:val="20"/>
              </w:rPr>
            </w:pPr>
            <w:r>
              <w:rPr>
                <w:rFonts w:hint="eastAsia" w:ascii="宋体" w:hAnsi="宋体" w:eastAsia="宋体" w:cs="宋体"/>
                <w:sz w:val="20"/>
                <w:szCs w:val="20"/>
              </w:rPr>
              <w:t>气体灭火控制器工作状况</w:t>
            </w:r>
          </w:p>
        </w:tc>
        <w:tc>
          <w:tcPr>
            <w:tcW w:w="5489" w:type="dxa"/>
            <w:tcBorders>
              <w:top w:val="single" w:color="auto" w:sz="4" w:space="0"/>
              <w:left w:val="single" w:color="auto" w:sz="4" w:space="0"/>
              <w:bottom w:val="single" w:color="auto" w:sz="4" w:space="0"/>
              <w:right w:val="single" w:color="auto" w:sz="4" w:space="0"/>
            </w:tcBorders>
            <w:noWrap w:val="0"/>
            <w:vAlign w:val="top"/>
          </w:tcPr>
          <w:p w14:paraId="42AAB739">
            <w:pPr>
              <w:rPr>
                <w:rFonts w:hint="eastAsia" w:ascii="宋体" w:hAnsi="宋体" w:eastAsia="宋体" w:cs="宋体"/>
                <w:sz w:val="20"/>
                <w:szCs w:val="20"/>
              </w:rPr>
            </w:pPr>
            <w:r>
              <w:rPr>
                <w:rFonts w:hint="eastAsia" w:ascii="宋体" w:hAnsi="宋体" w:eastAsia="宋体" w:cs="宋体"/>
                <w:sz w:val="20"/>
                <w:szCs w:val="20"/>
              </w:rPr>
              <w:t>气体灭火控制器状态设置正确</w:t>
            </w:r>
          </w:p>
        </w:tc>
        <w:tc>
          <w:tcPr>
            <w:tcW w:w="2418" w:type="dxa"/>
            <w:tcBorders>
              <w:top w:val="single" w:color="auto" w:sz="4" w:space="0"/>
              <w:left w:val="single" w:color="auto" w:sz="4" w:space="0"/>
              <w:bottom w:val="single" w:color="auto" w:sz="4" w:space="0"/>
              <w:right w:val="single" w:color="auto" w:sz="4" w:space="0"/>
            </w:tcBorders>
            <w:noWrap w:val="0"/>
            <w:vAlign w:val="top"/>
          </w:tcPr>
          <w:p w14:paraId="2281C5BB">
            <w:pPr>
              <w:rPr>
                <w:rFonts w:hint="eastAsia" w:ascii="宋体" w:hAnsi="宋体" w:eastAsia="宋体" w:cs="宋体"/>
                <w:sz w:val="20"/>
                <w:szCs w:val="20"/>
              </w:rPr>
            </w:pPr>
            <w:r>
              <w:rPr>
                <w:rFonts w:hint="eastAsia" w:ascii="宋体" w:hAnsi="宋体" w:eastAsia="宋体" w:cs="宋体"/>
                <w:sz w:val="20"/>
                <w:szCs w:val="20"/>
              </w:rPr>
              <w:t>设置不正确扣2分</w:t>
            </w:r>
          </w:p>
        </w:tc>
        <w:tc>
          <w:tcPr>
            <w:tcW w:w="0" w:type="auto"/>
            <w:tcBorders>
              <w:top w:val="single" w:color="auto" w:sz="4" w:space="0"/>
              <w:left w:val="single" w:color="auto" w:sz="4" w:space="0"/>
              <w:bottom w:val="single" w:color="auto" w:sz="4" w:space="0"/>
              <w:right w:val="single" w:color="auto" w:sz="4" w:space="0"/>
            </w:tcBorders>
            <w:noWrap w:val="0"/>
            <w:vAlign w:val="top"/>
          </w:tcPr>
          <w:p w14:paraId="3C81E1BB">
            <w:pPr>
              <w:jc w:val="center"/>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top"/>
          </w:tcPr>
          <w:p w14:paraId="704679FF">
            <w:pPr>
              <w:jc w:val="center"/>
              <w:rPr>
                <w:rFonts w:hint="eastAsia" w:ascii="宋体" w:hAnsi="宋体" w:eastAsia="宋体" w:cs="宋体"/>
                <w:b/>
                <w:sz w:val="20"/>
                <w:szCs w:val="20"/>
              </w:rPr>
            </w:pPr>
            <w:r>
              <w:rPr>
                <w:rFonts w:hint="eastAsia" w:ascii="宋体" w:hAnsi="宋体" w:eastAsia="宋体" w:cs="宋体"/>
                <w:b/>
                <w:sz w:val="20"/>
                <w:szCs w:val="20"/>
              </w:rPr>
              <w:t>ⅴ</w:t>
            </w:r>
          </w:p>
        </w:tc>
        <w:tc>
          <w:tcPr>
            <w:tcW w:w="0" w:type="auto"/>
            <w:tcBorders>
              <w:top w:val="single" w:color="auto" w:sz="4" w:space="0"/>
              <w:left w:val="single" w:color="auto" w:sz="4" w:space="0"/>
              <w:bottom w:val="single" w:color="auto" w:sz="4" w:space="0"/>
              <w:right w:val="single" w:color="auto" w:sz="4" w:space="0"/>
            </w:tcBorders>
            <w:noWrap w:val="0"/>
            <w:vAlign w:val="top"/>
          </w:tcPr>
          <w:p w14:paraId="53F7766D">
            <w:pPr>
              <w:jc w:val="center"/>
              <w:rPr>
                <w:rFonts w:hint="eastAsia" w:ascii="宋体" w:hAnsi="宋体" w:eastAsia="宋体" w:cs="宋体"/>
                <w:sz w:val="20"/>
                <w:szCs w:val="20"/>
              </w:rPr>
            </w:pPr>
          </w:p>
        </w:tc>
      </w:tr>
      <w:tr w14:paraId="03FB2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B2A445B">
            <w:pPr>
              <w:widowControl/>
              <w:jc w:val="left"/>
              <w:rPr>
                <w:rFonts w:hint="eastAsia" w:ascii="宋体" w:hAnsi="宋体" w:eastAsia="宋体" w:cs="宋体"/>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D31ACED">
            <w:pPr>
              <w:widowControl/>
              <w:jc w:val="left"/>
              <w:rPr>
                <w:rFonts w:hint="eastAsia" w:ascii="宋体" w:hAnsi="宋体" w:eastAsia="宋体" w:cs="宋体"/>
                <w:kern w:val="0"/>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32BE6F6">
            <w:pPr>
              <w:rPr>
                <w:rFonts w:hint="eastAsia" w:ascii="宋体" w:hAnsi="宋体" w:eastAsia="宋体" w:cs="宋体"/>
                <w:sz w:val="20"/>
                <w:szCs w:val="20"/>
              </w:rPr>
            </w:pPr>
            <w:r>
              <w:rPr>
                <w:rFonts w:hint="eastAsia" w:ascii="宋体" w:hAnsi="宋体" w:eastAsia="宋体" w:cs="宋体"/>
                <w:sz w:val="20"/>
                <w:szCs w:val="20"/>
              </w:rPr>
              <w:t>模拟区域报警器报警工作与驱动瓶电磁阀动作状况</w:t>
            </w:r>
          </w:p>
        </w:tc>
        <w:tc>
          <w:tcPr>
            <w:tcW w:w="5489" w:type="dxa"/>
            <w:tcBorders>
              <w:top w:val="single" w:color="auto" w:sz="4" w:space="0"/>
              <w:left w:val="single" w:color="auto" w:sz="4" w:space="0"/>
              <w:bottom w:val="single" w:color="auto" w:sz="4" w:space="0"/>
              <w:right w:val="single" w:color="auto" w:sz="4" w:space="0"/>
            </w:tcBorders>
            <w:noWrap w:val="0"/>
            <w:vAlign w:val="top"/>
          </w:tcPr>
          <w:p w14:paraId="0D05FC5C">
            <w:pPr>
              <w:spacing w:line="2" w:lineRule="atLeast"/>
              <w:rPr>
                <w:rFonts w:hint="eastAsia" w:ascii="宋体" w:hAnsi="宋体" w:eastAsia="宋体" w:cs="宋体"/>
                <w:sz w:val="20"/>
                <w:szCs w:val="20"/>
              </w:rPr>
            </w:pPr>
            <w:r>
              <w:rPr>
                <w:rFonts w:hint="eastAsia" w:ascii="宋体" w:hAnsi="宋体" w:eastAsia="宋体" w:cs="宋体"/>
                <w:sz w:val="20"/>
                <w:szCs w:val="20"/>
              </w:rPr>
              <w:t>断开驱动瓶电磁阀引线，接与电磁阀相同功率的直流器件模拟负载，输出DC24V，模拟试验工作正常</w:t>
            </w:r>
          </w:p>
        </w:tc>
        <w:tc>
          <w:tcPr>
            <w:tcW w:w="2418" w:type="dxa"/>
            <w:tcBorders>
              <w:top w:val="single" w:color="auto" w:sz="4" w:space="0"/>
              <w:left w:val="single" w:color="auto" w:sz="4" w:space="0"/>
              <w:bottom w:val="single" w:color="auto" w:sz="4" w:space="0"/>
              <w:right w:val="single" w:color="auto" w:sz="4" w:space="0"/>
            </w:tcBorders>
            <w:noWrap w:val="0"/>
            <w:vAlign w:val="center"/>
          </w:tcPr>
          <w:p w14:paraId="470C9D29">
            <w:pPr>
              <w:spacing w:line="2" w:lineRule="atLeast"/>
              <w:rPr>
                <w:rFonts w:hint="eastAsia" w:ascii="宋体" w:hAnsi="宋体" w:eastAsia="宋体" w:cs="宋体"/>
                <w:sz w:val="20"/>
                <w:szCs w:val="20"/>
              </w:rPr>
            </w:pPr>
            <w:r>
              <w:rPr>
                <w:rFonts w:hint="eastAsia" w:ascii="宋体" w:hAnsi="宋体" w:eastAsia="宋体" w:cs="宋体"/>
                <w:sz w:val="20"/>
                <w:szCs w:val="20"/>
              </w:rPr>
              <w:t>不合要求扣2分</w:t>
            </w:r>
          </w:p>
        </w:tc>
        <w:tc>
          <w:tcPr>
            <w:tcW w:w="0" w:type="auto"/>
            <w:tcBorders>
              <w:top w:val="single" w:color="auto" w:sz="4" w:space="0"/>
              <w:left w:val="single" w:color="auto" w:sz="4" w:space="0"/>
              <w:bottom w:val="single" w:color="auto" w:sz="4" w:space="0"/>
              <w:right w:val="single" w:color="auto" w:sz="4" w:space="0"/>
            </w:tcBorders>
            <w:noWrap w:val="0"/>
            <w:vAlign w:val="top"/>
          </w:tcPr>
          <w:p w14:paraId="3F2053A1">
            <w:pPr>
              <w:jc w:val="center"/>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DA48E52">
            <w:pPr>
              <w:jc w:val="center"/>
              <w:rPr>
                <w:rFonts w:hint="eastAsia" w:ascii="宋体" w:hAnsi="宋体" w:eastAsia="宋体" w:cs="宋体"/>
                <w:b/>
                <w:sz w:val="20"/>
                <w:szCs w:val="20"/>
              </w:rPr>
            </w:pPr>
            <w:r>
              <w:rPr>
                <w:rFonts w:hint="eastAsia" w:ascii="宋体" w:hAnsi="宋体" w:eastAsia="宋体" w:cs="宋体"/>
                <w:b/>
                <w:sz w:val="20"/>
                <w:szCs w:val="20"/>
              </w:rPr>
              <w:t>ⅴ</w:t>
            </w:r>
          </w:p>
        </w:tc>
        <w:tc>
          <w:tcPr>
            <w:tcW w:w="0" w:type="auto"/>
            <w:tcBorders>
              <w:top w:val="single" w:color="auto" w:sz="4" w:space="0"/>
              <w:left w:val="single" w:color="auto" w:sz="4" w:space="0"/>
              <w:bottom w:val="single" w:color="auto" w:sz="4" w:space="0"/>
              <w:right w:val="single" w:color="auto" w:sz="4" w:space="0"/>
            </w:tcBorders>
            <w:noWrap w:val="0"/>
            <w:vAlign w:val="top"/>
          </w:tcPr>
          <w:p w14:paraId="7F462B90">
            <w:pPr>
              <w:jc w:val="center"/>
              <w:rPr>
                <w:rFonts w:hint="eastAsia" w:ascii="宋体" w:hAnsi="宋体" w:eastAsia="宋体" w:cs="宋体"/>
                <w:sz w:val="20"/>
                <w:szCs w:val="20"/>
              </w:rPr>
            </w:pPr>
          </w:p>
        </w:tc>
      </w:tr>
      <w:tr w14:paraId="1061A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2007788">
            <w:pPr>
              <w:widowControl/>
              <w:jc w:val="left"/>
              <w:rPr>
                <w:rFonts w:hint="eastAsia" w:ascii="宋体" w:hAnsi="宋体" w:eastAsia="宋体" w:cs="宋体"/>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D0E905E">
            <w:pPr>
              <w:widowControl/>
              <w:jc w:val="left"/>
              <w:rPr>
                <w:rFonts w:hint="eastAsia" w:ascii="宋体" w:hAnsi="宋体" w:eastAsia="宋体" w:cs="宋体"/>
                <w:kern w:val="0"/>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12550B0">
            <w:pPr>
              <w:rPr>
                <w:rFonts w:hint="eastAsia" w:ascii="宋体" w:hAnsi="宋体" w:eastAsia="宋体" w:cs="宋体"/>
                <w:sz w:val="20"/>
                <w:szCs w:val="20"/>
              </w:rPr>
            </w:pPr>
            <w:r>
              <w:rPr>
                <w:rFonts w:hint="eastAsia" w:ascii="宋体" w:hAnsi="宋体" w:eastAsia="宋体" w:cs="宋体"/>
                <w:sz w:val="20"/>
                <w:szCs w:val="20"/>
              </w:rPr>
              <w:t>报警器报警工作、集流管内压力开关动作与主机接收状况</w:t>
            </w:r>
          </w:p>
        </w:tc>
        <w:tc>
          <w:tcPr>
            <w:tcW w:w="5489" w:type="dxa"/>
            <w:tcBorders>
              <w:top w:val="single" w:color="auto" w:sz="4" w:space="0"/>
              <w:left w:val="single" w:color="auto" w:sz="4" w:space="0"/>
              <w:bottom w:val="single" w:color="auto" w:sz="4" w:space="0"/>
              <w:right w:val="single" w:color="auto" w:sz="4" w:space="0"/>
            </w:tcBorders>
            <w:noWrap w:val="0"/>
            <w:vAlign w:val="top"/>
          </w:tcPr>
          <w:p w14:paraId="000FFF81">
            <w:pPr>
              <w:rPr>
                <w:rFonts w:hint="eastAsia" w:ascii="宋体" w:hAnsi="宋体" w:eastAsia="宋体" w:cs="宋体"/>
                <w:sz w:val="20"/>
                <w:szCs w:val="20"/>
              </w:rPr>
            </w:pPr>
            <w:r>
              <w:rPr>
                <w:rFonts w:hint="eastAsia" w:ascii="宋体" w:hAnsi="宋体" w:eastAsia="宋体" w:cs="宋体"/>
                <w:sz w:val="20"/>
                <w:szCs w:val="20"/>
              </w:rPr>
              <w:t>消防中心能接到报警信号、喷射二氧化碳压力开关的动作信号，同时显示地址码、中文信息</w:t>
            </w:r>
          </w:p>
        </w:tc>
        <w:tc>
          <w:tcPr>
            <w:tcW w:w="2418" w:type="dxa"/>
            <w:tcBorders>
              <w:top w:val="single" w:color="auto" w:sz="4" w:space="0"/>
              <w:left w:val="single" w:color="auto" w:sz="4" w:space="0"/>
              <w:bottom w:val="single" w:color="auto" w:sz="4" w:space="0"/>
              <w:right w:val="single" w:color="auto" w:sz="4" w:space="0"/>
            </w:tcBorders>
            <w:noWrap w:val="0"/>
            <w:vAlign w:val="center"/>
          </w:tcPr>
          <w:p w14:paraId="2FBB1496">
            <w:pPr>
              <w:rPr>
                <w:rFonts w:hint="eastAsia" w:ascii="宋体" w:hAnsi="宋体" w:eastAsia="宋体" w:cs="宋体"/>
                <w:sz w:val="20"/>
                <w:szCs w:val="20"/>
              </w:rPr>
            </w:pPr>
            <w:r>
              <w:rPr>
                <w:rFonts w:hint="eastAsia" w:ascii="宋体" w:hAnsi="宋体" w:eastAsia="宋体" w:cs="宋体"/>
                <w:sz w:val="20"/>
                <w:szCs w:val="20"/>
              </w:rPr>
              <w:t>不合格每一处扣0.5分</w:t>
            </w:r>
          </w:p>
        </w:tc>
        <w:tc>
          <w:tcPr>
            <w:tcW w:w="0" w:type="auto"/>
            <w:tcBorders>
              <w:top w:val="single" w:color="auto" w:sz="4" w:space="0"/>
              <w:left w:val="single" w:color="auto" w:sz="4" w:space="0"/>
              <w:bottom w:val="single" w:color="auto" w:sz="4" w:space="0"/>
              <w:right w:val="single" w:color="auto" w:sz="4" w:space="0"/>
            </w:tcBorders>
            <w:noWrap w:val="0"/>
            <w:vAlign w:val="top"/>
          </w:tcPr>
          <w:p w14:paraId="570ADD3E">
            <w:pPr>
              <w:jc w:val="center"/>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3B8D25E">
            <w:pPr>
              <w:jc w:val="center"/>
              <w:rPr>
                <w:rFonts w:hint="eastAsia" w:ascii="宋体" w:hAnsi="宋体" w:eastAsia="宋体" w:cs="宋体"/>
                <w:b/>
                <w:sz w:val="20"/>
                <w:szCs w:val="20"/>
              </w:rPr>
            </w:pPr>
            <w:r>
              <w:rPr>
                <w:rFonts w:hint="eastAsia" w:ascii="宋体" w:hAnsi="宋体" w:eastAsia="宋体" w:cs="宋体"/>
                <w:b/>
                <w:sz w:val="20"/>
                <w:szCs w:val="20"/>
              </w:rPr>
              <w:t>ⅴ</w:t>
            </w:r>
          </w:p>
        </w:tc>
        <w:tc>
          <w:tcPr>
            <w:tcW w:w="0" w:type="auto"/>
            <w:tcBorders>
              <w:top w:val="single" w:color="auto" w:sz="4" w:space="0"/>
              <w:left w:val="single" w:color="auto" w:sz="4" w:space="0"/>
              <w:bottom w:val="single" w:color="auto" w:sz="4" w:space="0"/>
              <w:right w:val="single" w:color="auto" w:sz="4" w:space="0"/>
            </w:tcBorders>
            <w:noWrap w:val="0"/>
            <w:vAlign w:val="top"/>
          </w:tcPr>
          <w:p w14:paraId="5ABF46DC">
            <w:pPr>
              <w:jc w:val="center"/>
              <w:rPr>
                <w:rFonts w:hint="eastAsia" w:ascii="宋体" w:hAnsi="宋体" w:eastAsia="宋体" w:cs="宋体"/>
                <w:sz w:val="20"/>
                <w:szCs w:val="20"/>
              </w:rPr>
            </w:pPr>
          </w:p>
        </w:tc>
      </w:tr>
      <w:tr w14:paraId="2A47E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23918B5">
            <w:pPr>
              <w:widowControl/>
              <w:jc w:val="left"/>
              <w:rPr>
                <w:rFonts w:hint="eastAsia" w:ascii="宋体" w:hAnsi="宋体" w:eastAsia="宋体" w:cs="宋体"/>
                <w:sz w:val="20"/>
                <w:szCs w:val="20"/>
              </w:rPr>
            </w:pPr>
          </w:p>
        </w:tc>
        <w:tc>
          <w:tcPr>
            <w:tcW w:w="0" w:type="auto"/>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6A2B59B1">
            <w:pPr>
              <w:ind w:left="113" w:right="113"/>
              <w:jc w:val="center"/>
              <w:rPr>
                <w:rFonts w:hint="eastAsia" w:ascii="宋体" w:hAnsi="宋体" w:eastAsia="宋体" w:cs="宋体"/>
                <w:sz w:val="20"/>
                <w:szCs w:val="20"/>
              </w:rPr>
            </w:pPr>
            <w:r>
              <w:rPr>
                <w:rFonts w:hint="eastAsia" w:ascii="宋体" w:hAnsi="宋体" w:eastAsia="宋体" w:cs="宋体"/>
                <w:sz w:val="20"/>
                <w:szCs w:val="20"/>
              </w:rPr>
              <w:t>容器瓶及管网</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DBA4307">
            <w:pPr>
              <w:rPr>
                <w:rFonts w:hint="eastAsia" w:ascii="宋体" w:hAnsi="宋体" w:eastAsia="宋体" w:cs="宋体"/>
                <w:sz w:val="20"/>
                <w:szCs w:val="20"/>
              </w:rPr>
            </w:pPr>
            <w:r>
              <w:rPr>
                <w:rFonts w:hint="eastAsia" w:ascii="宋体" w:hAnsi="宋体" w:eastAsia="宋体" w:cs="宋体"/>
                <w:sz w:val="20"/>
                <w:szCs w:val="20"/>
              </w:rPr>
              <w:t>二氧化碳灭火剂、驱动氮气压力状态</w:t>
            </w:r>
          </w:p>
        </w:tc>
        <w:tc>
          <w:tcPr>
            <w:tcW w:w="5489" w:type="dxa"/>
            <w:tcBorders>
              <w:top w:val="single" w:color="auto" w:sz="4" w:space="0"/>
              <w:left w:val="single" w:color="auto" w:sz="4" w:space="0"/>
              <w:bottom w:val="single" w:color="auto" w:sz="4" w:space="0"/>
              <w:right w:val="single" w:color="auto" w:sz="4" w:space="0"/>
            </w:tcBorders>
            <w:noWrap w:val="0"/>
            <w:vAlign w:val="top"/>
          </w:tcPr>
          <w:p w14:paraId="0F5E36D9">
            <w:pPr>
              <w:rPr>
                <w:rFonts w:hint="eastAsia" w:ascii="宋体" w:hAnsi="宋体" w:eastAsia="宋体" w:cs="宋体"/>
                <w:sz w:val="20"/>
                <w:szCs w:val="20"/>
              </w:rPr>
            </w:pPr>
            <w:r>
              <w:rPr>
                <w:rFonts w:hint="eastAsia" w:ascii="宋体" w:hAnsi="宋体" w:eastAsia="宋体" w:cs="宋体"/>
                <w:sz w:val="20"/>
                <w:szCs w:val="20"/>
              </w:rPr>
              <w:t>二氧化碳灭火剂压力要大于4兆帕；驱动氮气压力要大于6兆帕，否则要及时充装</w:t>
            </w:r>
          </w:p>
        </w:tc>
        <w:tc>
          <w:tcPr>
            <w:tcW w:w="2418" w:type="dxa"/>
            <w:tcBorders>
              <w:top w:val="single" w:color="auto" w:sz="4" w:space="0"/>
              <w:left w:val="single" w:color="auto" w:sz="4" w:space="0"/>
              <w:bottom w:val="single" w:color="auto" w:sz="4" w:space="0"/>
              <w:right w:val="single" w:color="auto" w:sz="4" w:space="0"/>
            </w:tcBorders>
            <w:noWrap w:val="0"/>
            <w:vAlign w:val="center"/>
          </w:tcPr>
          <w:p w14:paraId="02A16AC4">
            <w:pPr>
              <w:rPr>
                <w:rFonts w:hint="eastAsia" w:ascii="宋体" w:hAnsi="宋体" w:eastAsia="宋体" w:cs="宋体"/>
                <w:sz w:val="20"/>
                <w:szCs w:val="20"/>
              </w:rPr>
            </w:pPr>
            <w:r>
              <w:rPr>
                <w:rFonts w:hint="eastAsia" w:ascii="宋体" w:hAnsi="宋体" w:eastAsia="宋体" w:cs="宋体"/>
                <w:sz w:val="20"/>
                <w:szCs w:val="20"/>
              </w:rPr>
              <w:t>压力不够每一处扣1分</w:t>
            </w:r>
          </w:p>
        </w:tc>
        <w:tc>
          <w:tcPr>
            <w:tcW w:w="0" w:type="auto"/>
            <w:tcBorders>
              <w:top w:val="single" w:color="auto" w:sz="4" w:space="0"/>
              <w:left w:val="single" w:color="auto" w:sz="4" w:space="0"/>
              <w:bottom w:val="single" w:color="auto" w:sz="4" w:space="0"/>
              <w:right w:val="single" w:color="auto" w:sz="4" w:space="0"/>
            </w:tcBorders>
            <w:noWrap w:val="0"/>
            <w:vAlign w:val="top"/>
          </w:tcPr>
          <w:p w14:paraId="4C514155">
            <w:pPr>
              <w:jc w:val="center"/>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04C8D3A">
            <w:pPr>
              <w:jc w:val="center"/>
              <w:rPr>
                <w:rFonts w:hint="eastAsia" w:ascii="宋体" w:hAnsi="宋体" w:eastAsia="宋体" w:cs="宋体"/>
                <w:b/>
                <w:sz w:val="20"/>
                <w:szCs w:val="20"/>
              </w:rPr>
            </w:pPr>
            <w:r>
              <w:rPr>
                <w:rFonts w:hint="eastAsia" w:ascii="宋体" w:hAnsi="宋体" w:eastAsia="宋体" w:cs="宋体"/>
                <w:b/>
                <w:sz w:val="20"/>
                <w:szCs w:val="20"/>
              </w:rPr>
              <w:t>ⅴ</w:t>
            </w:r>
          </w:p>
        </w:tc>
        <w:tc>
          <w:tcPr>
            <w:tcW w:w="0" w:type="auto"/>
            <w:tcBorders>
              <w:top w:val="single" w:color="auto" w:sz="4" w:space="0"/>
              <w:left w:val="single" w:color="auto" w:sz="4" w:space="0"/>
              <w:bottom w:val="single" w:color="auto" w:sz="4" w:space="0"/>
              <w:right w:val="single" w:color="auto" w:sz="4" w:space="0"/>
            </w:tcBorders>
            <w:noWrap w:val="0"/>
            <w:vAlign w:val="top"/>
          </w:tcPr>
          <w:p w14:paraId="26BBF107">
            <w:pPr>
              <w:jc w:val="center"/>
              <w:rPr>
                <w:rFonts w:hint="eastAsia" w:ascii="宋体" w:hAnsi="宋体" w:eastAsia="宋体" w:cs="宋体"/>
                <w:sz w:val="20"/>
                <w:szCs w:val="20"/>
              </w:rPr>
            </w:pPr>
          </w:p>
        </w:tc>
      </w:tr>
      <w:tr w14:paraId="3FAF7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C397C7D">
            <w:pPr>
              <w:widowControl/>
              <w:jc w:val="left"/>
              <w:rPr>
                <w:rFonts w:hint="eastAsia" w:ascii="宋体" w:hAnsi="宋体" w:eastAsia="宋体" w:cs="宋体"/>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EC0C5EA">
            <w:pPr>
              <w:widowControl/>
              <w:jc w:val="left"/>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C84ECB9">
            <w:pPr>
              <w:rPr>
                <w:rFonts w:hint="eastAsia" w:ascii="宋体" w:hAnsi="宋体" w:eastAsia="宋体" w:cs="宋体"/>
                <w:sz w:val="20"/>
                <w:szCs w:val="20"/>
              </w:rPr>
            </w:pPr>
            <w:r>
              <w:rPr>
                <w:rFonts w:hint="eastAsia" w:ascii="宋体" w:hAnsi="宋体" w:eastAsia="宋体" w:cs="宋体"/>
                <w:sz w:val="20"/>
                <w:szCs w:val="20"/>
              </w:rPr>
              <w:t>二氧化碳、氮气质量；阀件、储气瓶试验要求</w:t>
            </w:r>
          </w:p>
        </w:tc>
        <w:tc>
          <w:tcPr>
            <w:tcW w:w="5489" w:type="dxa"/>
            <w:tcBorders>
              <w:top w:val="single" w:color="auto" w:sz="4" w:space="0"/>
              <w:left w:val="single" w:color="auto" w:sz="4" w:space="0"/>
              <w:bottom w:val="single" w:color="auto" w:sz="4" w:space="0"/>
              <w:right w:val="single" w:color="auto" w:sz="4" w:space="0"/>
            </w:tcBorders>
            <w:noWrap w:val="0"/>
            <w:vAlign w:val="center"/>
          </w:tcPr>
          <w:p w14:paraId="7C1CF672">
            <w:pPr>
              <w:rPr>
                <w:rFonts w:hint="eastAsia" w:ascii="宋体" w:hAnsi="宋体" w:eastAsia="宋体" w:cs="宋体"/>
                <w:sz w:val="20"/>
                <w:szCs w:val="20"/>
              </w:rPr>
            </w:pPr>
            <w:r>
              <w:rPr>
                <w:rFonts w:hint="eastAsia" w:ascii="宋体" w:hAnsi="宋体" w:eastAsia="宋体" w:cs="宋体"/>
                <w:sz w:val="20"/>
                <w:szCs w:val="20"/>
              </w:rPr>
              <w:t>对于重新充装的二氧化碳灭火剂、 驱动氮气要出具权威机构的资质证明，达到国家标准；阀件、储气瓶应8年试压一次，气压试验大于8兆帕，水压试验要大于12兆帕</w:t>
            </w:r>
          </w:p>
        </w:tc>
        <w:tc>
          <w:tcPr>
            <w:tcW w:w="2418" w:type="dxa"/>
            <w:tcBorders>
              <w:top w:val="single" w:color="auto" w:sz="4" w:space="0"/>
              <w:left w:val="single" w:color="auto" w:sz="4" w:space="0"/>
              <w:bottom w:val="single" w:color="auto" w:sz="4" w:space="0"/>
              <w:right w:val="single" w:color="auto" w:sz="4" w:space="0"/>
            </w:tcBorders>
            <w:noWrap w:val="0"/>
            <w:vAlign w:val="center"/>
          </w:tcPr>
          <w:p w14:paraId="5920E340">
            <w:pPr>
              <w:rPr>
                <w:rFonts w:hint="eastAsia" w:ascii="宋体" w:hAnsi="宋体" w:eastAsia="宋体" w:cs="宋体"/>
                <w:sz w:val="20"/>
                <w:szCs w:val="20"/>
              </w:rPr>
            </w:pPr>
          </w:p>
          <w:p w14:paraId="28C8B664">
            <w:pPr>
              <w:rPr>
                <w:rFonts w:hint="eastAsia" w:ascii="宋体" w:hAnsi="宋体" w:eastAsia="宋体" w:cs="宋体"/>
                <w:sz w:val="20"/>
                <w:szCs w:val="20"/>
              </w:rPr>
            </w:pPr>
            <w:r>
              <w:rPr>
                <w:rFonts w:hint="eastAsia" w:ascii="宋体" w:hAnsi="宋体" w:eastAsia="宋体" w:cs="宋体"/>
                <w:sz w:val="20"/>
                <w:szCs w:val="20"/>
              </w:rPr>
              <w:t>不合格每一处扣1分</w:t>
            </w:r>
          </w:p>
        </w:tc>
        <w:tc>
          <w:tcPr>
            <w:tcW w:w="0" w:type="auto"/>
            <w:gridSpan w:val="3"/>
            <w:tcBorders>
              <w:top w:val="single" w:color="auto" w:sz="4" w:space="0"/>
              <w:left w:val="single" w:color="auto" w:sz="4" w:space="0"/>
              <w:bottom w:val="single" w:color="auto" w:sz="4" w:space="0"/>
              <w:right w:val="single" w:color="auto" w:sz="4" w:space="0"/>
            </w:tcBorders>
            <w:noWrap w:val="0"/>
            <w:vAlign w:val="center"/>
          </w:tcPr>
          <w:p w14:paraId="6A845A3C">
            <w:pPr>
              <w:jc w:val="center"/>
              <w:rPr>
                <w:rFonts w:hint="eastAsia" w:ascii="宋体" w:hAnsi="宋体" w:eastAsia="宋体" w:cs="宋体"/>
                <w:sz w:val="20"/>
                <w:szCs w:val="20"/>
              </w:rPr>
            </w:pPr>
            <w:r>
              <w:rPr>
                <w:rFonts w:hint="eastAsia" w:ascii="宋体" w:hAnsi="宋体" w:eastAsia="宋体" w:cs="宋体"/>
                <w:sz w:val="20"/>
                <w:szCs w:val="20"/>
              </w:rPr>
              <w:t>定期检测</w:t>
            </w:r>
          </w:p>
        </w:tc>
      </w:tr>
      <w:tr w14:paraId="2AA7C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0" w:type="auto"/>
            <w:vMerge w:val="restart"/>
            <w:tcBorders>
              <w:top w:val="single" w:color="auto" w:sz="4" w:space="0"/>
              <w:left w:val="single" w:color="auto" w:sz="4" w:space="0"/>
              <w:right w:val="single" w:color="auto" w:sz="4" w:space="0"/>
            </w:tcBorders>
            <w:noWrap w:val="0"/>
            <w:textDirection w:val="tbRlV"/>
            <w:vAlign w:val="center"/>
          </w:tcPr>
          <w:p w14:paraId="524EFAD9">
            <w:pPr>
              <w:widowControl/>
              <w:ind w:left="113" w:right="113"/>
              <w:jc w:val="center"/>
              <w:rPr>
                <w:rFonts w:hint="eastAsia" w:ascii="宋体" w:hAnsi="宋体" w:eastAsia="宋体" w:cs="宋体"/>
                <w:sz w:val="20"/>
                <w:szCs w:val="20"/>
              </w:rPr>
            </w:pPr>
            <w:r>
              <w:rPr>
                <w:rFonts w:hint="eastAsia" w:ascii="宋体" w:hAnsi="宋体" w:eastAsia="宋体" w:cs="宋体"/>
                <w:sz w:val="20"/>
                <w:szCs w:val="20"/>
              </w:rPr>
              <w:t>防火卷帘门系统</w:t>
            </w:r>
            <w:r>
              <w:rPr>
                <w:rFonts w:hint="eastAsia" w:ascii="宋体" w:hAnsi="宋体" w:cs="宋体"/>
                <w:sz w:val="20"/>
                <w:szCs w:val="20"/>
                <w:lang w:eastAsia="zh-CN"/>
              </w:rPr>
              <w:t>（</w:t>
            </w:r>
            <w:r>
              <w:rPr>
                <w:rFonts w:hint="eastAsia" w:ascii="宋体" w:hAnsi="宋体" w:cs="宋体"/>
                <w:sz w:val="20"/>
                <w:szCs w:val="20"/>
                <w:lang w:val="en-US" w:eastAsia="zh-CN"/>
              </w:rPr>
              <w:t>分值10分</w:t>
            </w:r>
            <w:r>
              <w:rPr>
                <w:rFonts w:hint="eastAsia" w:ascii="宋体" w:hAnsi="宋体" w:cs="宋体"/>
                <w:sz w:val="20"/>
                <w:szCs w:val="20"/>
                <w:lang w:eastAsia="zh-CN"/>
              </w:rPr>
              <w:t>）</w:t>
            </w:r>
          </w:p>
        </w:tc>
        <w:tc>
          <w:tcPr>
            <w:tcW w:w="0" w:type="auto"/>
            <w:vMerge w:val="restart"/>
            <w:tcBorders>
              <w:top w:val="single" w:color="auto" w:sz="4" w:space="0"/>
              <w:left w:val="single" w:color="auto" w:sz="4" w:space="0"/>
              <w:right w:val="single" w:color="auto" w:sz="4" w:space="0"/>
            </w:tcBorders>
            <w:noWrap w:val="0"/>
            <w:textDirection w:val="tbRlV"/>
            <w:vAlign w:val="center"/>
          </w:tcPr>
          <w:p w14:paraId="0A5D0EED">
            <w:pPr>
              <w:widowControl/>
              <w:ind w:left="113" w:right="113"/>
              <w:jc w:val="center"/>
              <w:rPr>
                <w:rFonts w:hint="eastAsia" w:ascii="宋体" w:hAnsi="宋体" w:eastAsia="宋体" w:cs="宋体"/>
                <w:sz w:val="20"/>
                <w:szCs w:val="20"/>
              </w:rPr>
            </w:pPr>
            <w:r>
              <w:rPr>
                <w:rFonts w:hint="eastAsia" w:ascii="宋体" w:hAnsi="宋体" w:eastAsia="宋体" w:cs="宋体"/>
                <w:sz w:val="20"/>
                <w:szCs w:val="20"/>
              </w:rPr>
              <w:t>控制部分</w:t>
            </w:r>
          </w:p>
        </w:tc>
        <w:tc>
          <w:tcPr>
            <w:tcW w:w="0" w:type="auto"/>
            <w:tcBorders>
              <w:top w:val="single" w:color="auto" w:sz="4" w:space="0"/>
              <w:left w:val="single" w:color="auto" w:sz="4" w:space="0"/>
              <w:bottom w:val="single" w:color="auto" w:sz="4" w:space="0"/>
              <w:right w:val="single" w:color="auto" w:sz="4" w:space="0"/>
            </w:tcBorders>
            <w:noWrap w:val="0"/>
            <w:vAlign w:val="top"/>
          </w:tcPr>
          <w:p w14:paraId="2F33B728">
            <w:pPr>
              <w:rPr>
                <w:rFonts w:hint="eastAsia" w:ascii="宋体" w:hAnsi="宋体" w:eastAsia="宋体" w:cs="宋体"/>
                <w:sz w:val="20"/>
                <w:szCs w:val="20"/>
              </w:rPr>
            </w:pPr>
            <w:r>
              <w:rPr>
                <w:rFonts w:hint="eastAsia" w:ascii="宋体" w:hAnsi="宋体" w:eastAsia="宋体" w:cs="宋体"/>
                <w:sz w:val="20"/>
                <w:szCs w:val="20"/>
              </w:rPr>
              <w:t>消防中心，就地位置门内、门外按钮，就地门内、门外烟温感器报警工作控制防火卷帘门</w:t>
            </w:r>
          </w:p>
        </w:tc>
        <w:tc>
          <w:tcPr>
            <w:tcW w:w="5489" w:type="dxa"/>
            <w:tcBorders>
              <w:top w:val="single" w:color="auto" w:sz="4" w:space="0"/>
              <w:left w:val="single" w:color="auto" w:sz="4" w:space="0"/>
              <w:bottom w:val="single" w:color="auto" w:sz="4" w:space="0"/>
              <w:right w:val="single" w:color="auto" w:sz="4" w:space="0"/>
            </w:tcBorders>
            <w:noWrap w:val="0"/>
            <w:vAlign w:val="top"/>
          </w:tcPr>
          <w:p w14:paraId="742366EE">
            <w:pPr>
              <w:rPr>
                <w:rFonts w:hint="eastAsia" w:ascii="宋体" w:hAnsi="宋体" w:eastAsia="宋体" w:cs="宋体"/>
                <w:sz w:val="20"/>
                <w:szCs w:val="20"/>
              </w:rPr>
            </w:pPr>
            <w:r>
              <w:rPr>
                <w:rFonts w:hint="eastAsia" w:ascii="宋体" w:hAnsi="宋体" w:eastAsia="宋体" w:cs="宋体"/>
                <w:sz w:val="20"/>
                <w:szCs w:val="20"/>
              </w:rPr>
              <w:t>防火卷帘门能可靠动作，停、到位准确，同时能够将动作状态信号准确向消防中心主机反馈，同时在主机上显其地址码、动作时的相关中文信息</w:t>
            </w:r>
          </w:p>
        </w:tc>
        <w:tc>
          <w:tcPr>
            <w:tcW w:w="2418" w:type="dxa"/>
            <w:tcBorders>
              <w:top w:val="single" w:color="auto" w:sz="4" w:space="0"/>
              <w:left w:val="single" w:color="auto" w:sz="4" w:space="0"/>
              <w:bottom w:val="single" w:color="auto" w:sz="4" w:space="0"/>
              <w:right w:val="single" w:color="auto" w:sz="4" w:space="0"/>
            </w:tcBorders>
            <w:noWrap w:val="0"/>
            <w:vAlign w:val="center"/>
          </w:tcPr>
          <w:p w14:paraId="7EF6F06F">
            <w:pPr>
              <w:rPr>
                <w:rFonts w:hint="eastAsia" w:ascii="宋体" w:hAnsi="宋体" w:eastAsia="宋体" w:cs="宋体"/>
                <w:sz w:val="20"/>
                <w:szCs w:val="20"/>
              </w:rPr>
            </w:pPr>
            <w:r>
              <w:rPr>
                <w:rFonts w:hint="eastAsia" w:ascii="宋体" w:hAnsi="宋体" w:eastAsia="宋体" w:cs="宋体"/>
                <w:sz w:val="20"/>
                <w:szCs w:val="20"/>
              </w:rPr>
              <w:t>不合格每一处扣1分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4AA5928">
            <w:pPr>
              <w:jc w:val="center"/>
              <w:rPr>
                <w:rFonts w:hint="eastAsia" w:ascii="宋体" w:hAnsi="宋体" w:eastAsia="宋体" w:cs="宋体"/>
                <w:b/>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E84DEDB">
            <w:pPr>
              <w:jc w:val="center"/>
              <w:rPr>
                <w:rFonts w:hint="eastAsia" w:ascii="宋体" w:hAnsi="宋体" w:eastAsia="宋体" w:cs="宋体"/>
                <w:sz w:val="20"/>
                <w:szCs w:val="20"/>
              </w:rPr>
            </w:pPr>
            <w:r>
              <w:rPr>
                <w:rFonts w:hint="eastAsia" w:ascii="宋体" w:hAnsi="宋体" w:eastAsia="宋体" w:cs="宋体"/>
                <w:b/>
                <w:sz w:val="20"/>
                <w:szCs w:val="20"/>
              </w:rPr>
              <w:t>ⅴ</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AC688C4">
            <w:pPr>
              <w:jc w:val="center"/>
              <w:rPr>
                <w:rFonts w:hint="eastAsia" w:ascii="宋体" w:hAnsi="宋体" w:eastAsia="宋体" w:cs="宋体"/>
                <w:sz w:val="20"/>
                <w:szCs w:val="20"/>
              </w:rPr>
            </w:pPr>
          </w:p>
        </w:tc>
      </w:tr>
      <w:tr w14:paraId="03A0F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0" w:type="auto"/>
            <w:vMerge w:val="continue"/>
            <w:tcBorders>
              <w:left w:val="single" w:color="auto" w:sz="4" w:space="0"/>
              <w:right w:val="single" w:color="auto" w:sz="4" w:space="0"/>
            </w:tcBorders>
            <w:noWrap w:val="0"/>
            <w:textDirection w:val="tbRlV"/>
            <w:vAlign w:val="center"/>
          </w:tcPr>
          <w:p w14:paraId="011E7FC8">
            <w:pPr>
              <w:widowControl/>
              <w:ind w:left="113" w:right="113"/>
              <w:jc w:val="center"/>
              <w:rPr>
                <w:rFonts w:hint="eastAsia" w:ascii="宋体" w:hAnsi="宋体" w:eastAsia="宋体" w:cs="宋体"/>
                <w:sz w:val="20"/>
                <w:szCs w:val="20"/>
              </w:rPr>
            </w:pPr>
          </w:p>
        </w:tc>
        <w:tc>
          <w:tcPr>
            <w:tcW w:w="0" w:type="auto"/>
            <w:vMerge w:val="continue"/>
            <w:tcBorders>
              <w:left w:val="single" w:color="auto" w:sz="4" w:space="0"/>
              <w:bottom w:val="single" w:color="auto" w:sz="4" w:space="0"/>
              <w:right w:val="single" w:color="auto" w:sz="4" w:space="0"/>
            </w:tcBorders>
            <w:noWrap w:val="0"/>
            <w:textDirection w:val="tbRlV"/>
            <w:vAlign w:val="center"/>
          </w:tcPr>
          <w:p w14:paraId="407D5CD1">
            <w:pPr>
              <w:widowControl/>
              <w:ind w:left="113" w:right="113"/>
              <w:jc w:val="center"/>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4276EAD">
            <w:pPr>
              <w:rPr>
                <w:rFonts w:hint="eastAsia" w:ascii="宋体" w:hAnsi="宋体" w:eastAsia="宋体" w:cs="宋体"/>
                <w:sz w:val="20"/>
                <w:szCs w:val="20"/>
              </w:rPr>
            </w:pPr>
            <w:r>
              <w:rPr>
                <w:rFonts w:hint="eastAsia" w:ascii="宋体" w:hAnsi="宋体" w:eastAsia="宋体" w:cs="宋体"/>
                <w:sz w:val="20"/>
                <w:szCs w:val="20"/>
              </w:rPr>
              <w:t>各种执行器件触点、各种接线端的状态</w:t>
            </w:r>
          </w:p>
        </w:tc>
        <w:tc>
          <w:tcPr>
            <w:tcW w:w="5489" w:type="dxa"/>
            <w:tcBorders>
              <w:top w:val="single" w:color="auto" w:sz="4" w:space="0"/>
              <w:left w:val="single" w:color="auto" w:sz="4" w:space="0"/>
              <w:bottom w:val="single" w:color="auto" w:sz="4" w:space="0"/>
              <w:right w:val="single" w:color="auto" w:sz="4" w:space="0"/>
            </w:tcBorders>
            <w:noWrap w:val="0"/>
            <w:vAlign w:val="top"/>
          </w:tcPr>
          <w:p w14:paraId="2CD08819">
            <w:pPr>
              <w:spacing w:line="2" w:lineRule="atLeast"/>
              <w:rPr>
                <w:rFonts w:hint="eastAsia" w:ascii="宋体" w:hAnsi="宋体" w:eastAsia="宋体" w:cs="宋体"/>
                <w:sz w:val="20"/>
                <w:szCs w:val="20"/>
              </w:rPr>
            </w:pPr>
            <w:r>
              <w:rPr>
                <w:rFonts w:hint="eastAsia" w:ascii="宋体" w:hAnsi="宋体" w:eastAsia="宋体" w:cs="宋体"/>
                <w:sz w:val="20"/>
                <w:szCs w:val="20"/>
              </w:rPr>
              <w:t>要求器件的触点光滑、无烧损，各接线端接线牢靠</w:t>
            </w:r>
          </w:p>
        </w:tc>
        <w:tc>
          <w:tcPr>
            <w:tcW w:w="2418" w:type="dxa"/>
            <w:tcBorders>
              <w:top w:val="single" w:color="auto" w:sz="4" w:space="0"/>
              <w:left w:val="single" w:color="auto" w:sz="4" w:space="0"/>
              <w:bottom w:val="single" w:color="auto" w:sz="4" w:space="0"/>
              <w:right w:val="single" w:color="auto" w:sz="4" w:space="0"/>
            </w:tcBorders>
            <w:noWrap w:val="0"/>
            <w:vAlign w:val="center"/>
          </w:tcPr>
          <w:p w14:paraId="20E63E8D">
            <w:pPr>
              <w:rPr>
                <w:rFonts w:hint="eastAsia" w:ascii="宋体" w:hAnsi="宋体" w:eastAsia="宋体" w:cs="宋体"/>
                <w:sz w:val="20"/>
                <w:szCs w:val="20"/>
              </w:rPr>
            </w:pPr>
            <w:r>
              <w:rPr>
                <w:rFonts w:hint="eastAsia" w:ascii="宋体" w:hAnsi="宋体" w:eastAsia="宋体" w:cs="宋体"/>
                <w:sz w:val="20"/>
                <w:szCs w:val="20"/>
              </w:rPr>
              <w:t>不合格每一处扣0.5分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BFB775D">
            <w:pPr>
              <w:jc w:val="center"/>
              <w:rPr>
                <w:rFonts w:hint="eastAsia" w:ascii="宋体" w:hAnsi="宋体" w:eastAsia="宋体" w:cs="宋体"/>
                <w:b/>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C07F675">
            <w:pPr>
              <w:jc w:val="center"/>
              <w:rPr>
                <w:rFonts w:hint="eastAsia" w:ascii="宋体" w:hAnsi="宋体" w:eastAsia="宋体" w:cs="宋体"/>
                <w:sz w:val="20"/>
                <w:szCs w:val="20"/>
              </w:rPr>
            </w:pPr>
            <w:r>
              <w:rPr>
                <w:rFonts w:hint="eastAsia" w:ascii="宋体" w:hAnsi="宋体" w:eastAsia="宋体" w:cs="宋体"/>
                <w:b/>
                <w:sz w:val="20"/>
                <w:szCs w:val="20"/>
              </w:rPr>
              <w:t>ⅴ</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84A0C81">
            <w:pPr>
              <w:jc w:val="center"/>
              <w:rPr>
                <w:rFonts w:hint="eastAsia" w:ascii="宋体" w:hAnsi="宋体" w:eastAsia="宋体" w:cs="宋体"/>
                <w:sz w:val="20"/>
                <w:szCs w:val="20"/>
              </w:rPr>
            </w:pPr>
          </w:p>
        </w:tc>
      </w:tr>
      <w:tr w14:paraId="7ABEE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0" w:type="auto"/>
            <w:vMerge w:val="continue"/>
            <w:tcBorders>
              <w:left w:val="single" w:color="auto" w:sz="4" w:space="0"/>
              <w:right w:val="single" w:color="auto" w:sz="4" w:space="0"/>
            </w:tcBorders>
            <w:noWrap w:val="0"/>
            <w:vAlign w:val="center"/>
          </w:tcPr>
          <w:p w14:paraId="6A905497">
            <w:pPr>
              <w:widowControl/>
              <w:jc w:val="left"/>
              <w:rPr>
                <w:rFonts w:hint="eastAsia" w:ascii="宋体" w:hAnsi="宋体" w:eastAsia="宋体" w:cs="宋体"/>
                <w:sz w:val="20"/>
                <w:szCs w:val="20"/>
              </w:rPr>
            </w:pPr>
          </w:p>
        </w:tc>
        <w:tc>
          <w:tcPr>
            <w:tcW w:w="0" w:type="auto"/>
            <w:vMerge w:val="restart"/>
            <w:tcBorders>
              <w:top w:val="single" w:color="auto" w:sz="4" w:space="0"/>
              <w:left w:val="single" w:color="auto" w:sz="4" w:space="0"/>
              <w:right w:val="single" w:color="auto" w:sz="4" w:space="0"/>
            </w:tcBorders>
            <w:noWrap w:val="0"/>
            <w:textDirection w:val="tbRlV"/>
            <w:vAlign w:val="center"/>
          </w:tcPr>
          <w:p w14:paraId="7EA30B98">
            <w:pPr>
              <w:widowControl/>
              <w:ind w:left="113" w:right="113"/>
              <w:jc w:val="center"/>
              <w:rPr>
                <w:rFonts w:hint="eastAsia" w:ascii="宋体" w:hAnsi="宋体" w:eastAsia="宋体" w:cs="宋体"/>
                <w:sz w:val="20"/>
                <w:szCs w:val="20"/>
              </w:rPr>
            </w:pPr>
            <w:r>
              <w:rPr>
                <w:rFonts w:hint="eastAsia" w:ascii="宋体" w:hAnsi="宋体" w:eastAsia="宋体" w:cs="宋体"/>
                <w:sz w:val="20"/>
                <w:szCs w:val="20"/>
              </w:rPr>
              <w:t>传动部分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26C67CF">
            <w:pPr>
              <w:rPr>
                <w:rFonts w:hint="eastAsia" w:ascii="宋体" w:hAnsi="宋体" w:eastAsia="宋体" w:cs="宋体"/>
                <w:sz w:val="20"/>
                <w:szCs w:val="20"/>
              </w:rPr>
            </w:pPr>
            <w:r>
              <w:rPr>
                <w:rFonts w:hint="eastAsia" w:ascii="宋体" w:hAnsi="宋体" w:eastAsia="宋体" w:cs="宋体"/>
                <w:sz w:val="20"/>
                <w:szCs w:val="20"/>
              </w:rPr>
              <w:t>防火卷帘门门体状况</w:t>
            </w:r>
          </w:p>
        </w:tc>
        <w:tc>
          <w:tcPr>
            <w:tcW w:w="5489" w:type="dxa"/>
            <w:tcBorders>
              <w:top w:val="single" w:color="auto" w:sz="4" w:space="0"/>
              <w:left w:val="single" w:color="auto" w:sz="4" w:space="0"/>
              <w:bottom w:val="single" w:color="auto" w:sz="4" w:space="0"/>
              <w:right w:val="single" w:color="auto" w:sz="4" w:space="0"/>
            </w:tcBorders>
            <w:noWrap w:val="0"/>
            <w:vAlign w:val="center"/>
          </w:tcPr>
          <w:p w14:paraId="536C1435">
            <w:pPr>
              <w:rPr>
                <w:rFonts w:hint="eastAsia" w:ascii="宋体" w:hAnsi="宋体" w:eastAsia="宋体" w:cs="宋体"/>
                <w:sz w:val="20"/>
                <w:szCs w:val="20"/>
              </w:rPr>
            </w:pPr>
            <w:r>
              <w:rPr>
                <w:rFonts w:hint="eastAsia" w:ascii="宋体" w:hAnsi="宋体" w:eastAsia="宋体" w:cs="宋体"/>
                <w:sz w:val="20"/>
                <w:szCs w:val="20"/>
              </w:rPr>
              <w:t>防火卷帘门门体要清洁干净且无锈蚀、破损现象</w:t>
            </w:r>
          </w:p>
        </w:tc>
        <w:tc>
          <w:tcPr>
            <w:tcW w:w="2418" w:type="dxa"/>
            <w:tcBorders>
              <w:top w:val="single" w:color="auto" w:sz="4" w:space="0"/>
              <w:left w:val="single" w:color="auto" w:sz="4" w:space="0"/>
              <w:bottom w:val="single" w:color="auto" w:sz="4" w:space="0"/>
              <w:right w:val="single" w:color="auto" w:sz="4" w:space="0"/>
            </w:tcBorders>
            <w:noWrap w:val="0"/>
            <w:vAlign w:val="center"/>
          </w:tcPr>
          <w:p w14:paraId="635366E2">
            <w:pPr>
              <w:rPr>
                <w:rFonts w:hint="eastAsia" w:ascii="宋体" w:hAnsi="宋体" w:eastAsia="宋体" w:cs="宋体"/>
                <w:sz w:val="20"/>
                <w:szCs w:val="20"/>
              </w:rPr>
            </w:pPr>
            <w:r>
              <w:rPr>
                <w:rFonts w:hint="eastAsia" w:ascii="宋体" w:hAnsi="宋体" w:eastAsia="宋体" w:cs="宋体"/>
                <w:sz w:val="20"/>
                <w:szCs w:val="20"/>
              </w:rPr>
              <w:t>不合格每一处扣0.5分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FAEDBEB">
            <w:pPr>
              <w:jc w:val="center"/>
              <w:rPr>
                <w:rFonts w:hint="eastAsia" w:ascii="宋体" w:hAnsi="宋体" w:eastAsia="宋体" w:cs="宋体"/>
                <w:b/>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37DC6EE">
            <w:pPr>
              <w:jc w:val="center"/>
              <w:rPr>
                <w:rFonts w:hint="eastAsia" w:ascii="宋体" w:hAnsi="宋体" w:eastAsia="宋体" w:cs="宋体"/>
                <w:sz w:val="20"/>
                <w:szCs w:val="20"/>
              </w:rPr>
            </w:pPr>
            <w:r>
              <w:rPr>
                <w:rFonts w:hint="eastAsia" w:ascii="宋体" w:hAnsi="宋体" w:eastAsia="宋体" w:cs="宋体"/>
                <w:b/>
                <w:sz w:val="20"/>
                <w:szCs w:val="20"/>
              </w:rPr>
              <w:t>ⅴ</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9C06B6C">
            <w:pPr>
              <w:jc w:val="center"/>
              <w:rPr>
                <w:rFonts w:hint="eastAsia" w:ascii="宋体" w:hAnsi="宋体" w:eastAsia="宋体" w:cs="宋体"/>
                <w:sz w:val="20"/>
                <w:szCs w:val="20"/>
              </w:rPr>
            </w:pPr>
          </w:p>
        </w:tc>
      </w:tr>
      <w:tr w14:paraId="2126C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jc w:val="center"/>
        </w:trPr>
        <w:tc>
          <w:tcPr>
            <w:tcW w:w="0" w:type="auto"/>
            <w:vMerge w:val="continue"/>
            <w:tcBorders>
              <w:left w:val="single" w:color="auto" w:sz="4" w:space="0"/>
              <w:bottom w:val="single" w:color="auto" w:sz="4" w:space="0"/>
              <w:right w:val="single" w:color="auto" w:sz="4" w:space="0"/>
            </w:tcBorders>
            <w:noWrap w:val="0"/>
            <w:vAlign w:val="center"/>
          </w:tcPr>
          <w:p w14:paraId="19B8E356">
            <w:pPr>
              <w:widowControl/>
              <w:jc w:val="left"/>
              <w:rPr>
                <w:rFonts w:hint="eastAsia" w:ascii="宋体" w:hAnsi="宋体" w:eastAsia="宋体" w:cs="宋体"/>
                <w:sz w:val="20"/>
                <w:szCs w:val="20"/>
              </w:rPr>
            </w:pPr>
          </w:p>
        </w:tc>
        <w:tc>
          <w:tcPr>
            <w:tcW w:w="0" w:type="auto"/>
            <w:vMerge w:val="continue"/>
            <w:tcBorders>
              <w:left w:val="single" w:color="auto" w:sz="4" w:space="0"/>
              <w:bottom w:val="single" w:color="auto" w:sz="4" w:space="0"/>
              <w:right w:val="single" w:color="auto" w:sz="4" w:space="0"/>
            </w:tcBorders>
            <w:noWrap w:val="0"/>
            <w:textDirection w:val="tbRlV"/>
            <w:vAlign w:val="center"/>
          </w:tcPr>
          <w:p w14:paraId="4ABB66E8">
            <w:pPr>
              <w:widowControl/>
              <w:ind w:left="113" w:right="113"/>
              <w:jc w:val="left"/>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FA2449E">
            <w:pPr>
              <w:rPr>
                <w:rFonts w:hint="eastAsia" w:ascii="宋体" w:hAnsi="宋体" w:eastAsia="宋体" w:cs="宋体"/>
                <w:sz w:val="20"/>
                <w:szCs w:val="20"/>
              </w:rPr>
            </w:pPr>
            <w:r>
              <w:rPr>
                <w:rFonts w:hint="eastAsia" w:ascii="宋体" w:hAnsi="宋体" w:eastAsia="宋体" w:cs="宋体"/>
                <w:sz w:val="20"/>
                <w:szCs w:val="20"/>
              </w:rPr>
              <w:t>机械传动部件（齿轮、链条、限位传动螺杆等）</w:t>
            </w:r>
          </w:p>
        </w:tc>
        <w:tc>
          <w:tcPr>
            <w:tcW w:w="5489" w:type="dxa"/>
            <w:tcBorders>
              <w:top w:val="single" w:color="auto" w:sz="4" w:space="0"/>
              <w:left w:val="single" w:color="auto" w:sz="4" w:space="0"/>
              <w:bottom w:val="single" w:color="auto" w:sz="4" w:space="0"/>
              <w:right w:val="single" w:color="auto" w:sz="4" w:space="0"/>
            </w:tcBorders>
            <w:noWrap w:val="0"/>
            <w:vAlign w:val="top"/>
          </w:tcPr>
          <w:p w14:paraId="204DC3D9">
            <w:pPr>
              <w:rPr>
                <w:rFonts w:hint="eastAsia" w:ascii="宋体" w:hAnsi="宋体" w:eastAsia="宋体" w:cs="宋体"/>
                <w:sz w:val="20"/>
                <w:szCs w:val="20"/>
              </w:rPr>
            </w:pPr>
          </w:p>
          <w:p w14:paraId="7A981045">
            <w:pPr>
              <w:rPr>
                <w:rFonts w:hint="eastAsia" w:ascii="宋体" w:hAnsi="宋体" w:eastAsia="宋体" w:cs="宋体"/>
                <w:sz w:val="20"/>
                <w:szCs w:val="20"/>
              </w:rPr>
            </w:pPr>
            <w:r>
              <w:rPr>
                <w:rFonts w:hint="eastAsia" w:ascii="宋体" w:hAnsi="宋体" w:eastAsia="宋体" w:cs="宋体"/>
                <w:sz w:val="20"/>
                <w:szCs w:val="20"/>
              </w:rPr>
              <w:t>要求传动部件齿轮、链条、限位传动螺杆无锈蚀、损伤、卡滞现象，定期、定量加注润滑进行保养。电动机在工作时无过热的现象</w:t>
            </w:r>
          </w:p>
        </w:tc>
        <w:tc>
          <w:tcPr>
            <w:tcW w:w="2418" w:type="dxa"/>
            <w:tcBorders>
              <w:top w:val="single" w:color="auto" w:sz="4" w:space="0"/>
              <w:left w:val="single" w:color="auto" w:sz="4" w:space="0"/>
              <w:bottom w:val="single" w:color="auto" w:sz="4" w:space="0"/>
              <w:right w:val="single" w:color="auto" w:sz="4" w:space="0"/>
            </w:tcBorders>
            <w:noWrap w:val="0"/>
            <w:vAlign w:val="center"/>
          </w:tcPr>
          <w:p w14:paraId="1D738E54">
            <w:pPr>
              <w:spacing w:line="24" w:lineRule="auto"/>
              <w:rPr>
                <w:rFonts w:hint="eastAsia" w:ascii="宋体" w:hAnsi="宋体" w:eastAsia="宋体" w:cs="宋体"/>
                <w:sz w:val="20"/>
                <w:szCs w:val="20"/>
              </w:rPr>
            </w:pPr>
          </w:p>
          <w:p w14:paraId="6C90D356">
            <w:pPr>
              <w:rPr>
                <w:rFonts w:hint="eastAsia" w:ascii="宋体" w:hAnsi="宋体" w:eastAsia="宋体" w:cs="宋体"/>
                <w:sz w:val="20"/>
                <w:szCs w:val="20"/>
              </w:rPr>
            </w:pPr>
            <w:r>
              <w:rPr>
                <w:rFonts w:hint="eastAsia" w:ascii="宋体" w:hAnsi="宋体" w:eastAsia="宋体" w:cs="宋体"/>
                <w:sz w:val="20"/>
                <w:szCs w:val="20"/>
              </w:rPr>
              <w:t>保养不到位扣1分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BAB7518">
            <w:pPr>
              <w:jc w:val="center"/>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59ACF3A">
            <w:pPr>
              <w:jc w:val="center"/>
              <w:rPr>
                <w:rFonts w:hint="eastAsia" w:ascii="宋体" w:hAnsi="宋体" w:eastAsia="宋体" w:cs="宋体"/>
                <w:sz w:val="20"/>
                <w:szCs w:val="20"/>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12A9F9F">
            <w:pPr>
              <w:jc w:val="center"/>
              <w:rPr>
                <w:rFonts w:hint="eastAsia" w:ascii="宋体" w:hAnsi="宋体" w:eastAsia="宋体" w:cs="宋体"/>
                <w:sz w:val="20"/>
                <w:szCs w:val="20"/>
              </w:rPr>
            </w:pPr>
            <w:r>
              <w:rPr>
                <w:rFonts w:hint="eastAsia" w:ascii="宋体" w:hAnsi="宋体" w:eastAsia="宋体" w:cs="宋体"/>
                <w:b/>
                <w:sz w:val="20"/>
                <w:szCs w:val="20"/>
              </w:rPr>
              <w:t>ⅴ</w:t>
            </w:r>
          </w:p>
        </w:tc>
      </w:tr>
    </w:tbl>
    <w:p w14:paraId="473D82C2">
      <w:pPr>
        <w:rPr>
          <w:rFonts w:hint="eastAsia" w:ascii="宋体" w:hAnsi="宋体" w:cs="宋体"/>
        </w:rPr>
      </w:pPr>
    </w:p>
    <w:p w14:paraId="6005849F">
      <w:pPr>
        <w:pStyle w:val="3"/>
        <w:spacing w:line="360" w:lineRule="auto"/>
        <w:jc w:val="center"/>
        <w:rPr>
          <w:rFonts w:hint="eastAsia" w:ascii="宋体" w:hAnsi="宋体" w:eastAsia="宋体" w:cs="宋体"/>
          <w:b/>
          <w:bCs/>
          <w:sz w:val="32"/>
          <w:szCs w:val="32"/>
        </w:rPr>
      </w:pPr>
      <w:r>
        <w:rPr>
          <w:rFonts w:hint="eastAsia" w:ascii="宋体" w:hAnsi="宋体" w:eastAsia="宋体" w:cs="宋体"/>
          <w:b/>
          <w:bCs/>
          <w:sz w:val="32"/>
          <w:szCs w:val="32"/>
        </w:rPr>
        <w:br w:type="page"/>
      </w:r>
      <w:r>
        <w:rPr>
          <w:rFonts w:hint="eastAsia" w:ascii="宋体" w:hAnsi="宋体" w:eastAsia="宋体" w:cs="宋体"/>
          <w:b/>
          <w:bCs/>
          <w:sz w:val="32"/>
          <w:szCs w:val="32"/>
        </w:rPr>
        <w:t>第四章  项目需求</w:t>
      </w:r>
    </w:p>
    <w:p w14:paraId="4DAA8E36">
      <w:pPr>
        <w:pStyle w:val="60"/>
        <w:keepNext w:val="0"/>
        <w:keepLines w:val="0"/>
        <w:pageBreakBefore w:val="0"/>
        <w:widowControl/>
        <w:kinsoku/>
        <w:wordWrap/>
        <w:overflowPunct/>
        <w:topLinePunct/>
        <w:autoSpaceDE/>
        <w:autoSpaceDN/>
        <w:bidi w:val="0"/>
        <w:adjustRightInd/>
        <w:snapToGrid/>
        <w:spacing w:beforeLines="0" w:afterLines="0" w:line="480" w:lineRule="exact"/>
        <w:ind w:left="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一</w:t>
      </w:r>
      <w:r>
        <w:rPr>
          <w:rFonts w:hint="eastAsia" w:ascii="宋体" w:hAnsi="宋体" w:cs="宋体"/>
          <w:kern w:val="2"/>
          <w:sz w:val="24"/>
          <w:szCs w:val="24"/>
          <w:highlight w:val="none"/>
          <w:lang w:val="en-US" w:eastAsia="zh-CN" w:bidi="ar-SA"/>
        </w:rPr>
        <w:t>、</w:t>
      </w:r>
      <w:r>
        <w:rPr>
          <w:rFonts w:hint="eastAsia" w:ascii="宋体" w:hAnsi="宋体" w:eastAsia="宋体" w:cs="宋体"/>
          <w:kern w:val="2"/>
          <w:sz w:val="24"/>
          <w:szCs w:val="24"/>
          <w:highlight w:val="none"/>
          <w:lang w:val="en-US" w:eastAsia="zh-CN" w:bidi="ar-SA"/>
        </w:rPr>
        <w:t>服务项目：金东邻里中心消防维保项目</w:t>
      </w:r>
    </w:p>
    <w:p w14:paraId="62F002B7">
      <w:pPr>
        <w:pStyle w:val="60"/>
        <w:keepNext w:val="0"/>
        <w:keepLines w:val="0"/>
        <w:pageBreakBefore w:val="0"/>
        <w:widowControl/>
        <w:kinsoku/>
        <w:wordWrap/>
        <w:overflowPunct/>
        <w:topLinePunct/>
        <w:autoSpaceDE/>
        <w:autoSpaceDN/>
        <w:bidi w:val="0"/>
        <w:adjustRightInd/>
        <w:snapToGrid/>
        <w:spacing w:beforeLines="0" w:afterLines="0" w:line="480" w:lineRule="exact"/>
        <w:ind w:left="0" w:firstLine="480" w:firstLineChars="200"/>
        <w:jc w:val="both"/>
        <w:textAlignment w:val="auto"/>
        <w:rPr>
          <w:rFonts w:hint="default" w:ascii="宋体" w:hAnsi="宋体" w:eastAsia="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建筑面积：22403.26m2。</w:t>
      </w:r>
    </w:p>
    <w:p w14:paraId="10158EE0">
      <w:pPr>
        <w:pStyle w:val="60"/>
        <w:keepNext w:val="0"/>
        <w:keepLines w:val="0"/>
        <w:pageBreakBefore w:val="0"/>
        <w:widowControl/>
        <w:kinsoku/>
        <w:wordWrap/>
        <w:overflowPunct/>
        <w:topLinePunct/>
        <w:autoSpaceDE/>
        <w:autoSpaceDN/>
        <w:bidi w:val="0"/>
        <w:adjustRightInd/>
        <w:snapToGrid/>
        <w:spacing w:beforeLines="0" w:afterLines="0" w:line="480" w:lineRule="exact"/>
        <w:ind w:left="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维修保养范围：乙方负责下列建筑消防设施的维修保养技术服务：</w:t>
      </w:r>
    </w:p>
    <w:p w14:paraId="48C02514">
      <w:pPr>
        <w:pStyle w:val="60"/>
        <w:keepNext w:val="0"/>
        <w:keepLines w:val="0"/>
        <w:pageBreakBefore w:val="0"/>
        <w:widowControl/>
        <w:kinsoku/>
        <w:wordWrap/>
        <w:overflowPunct/>
        <w:topLinePunct/>
        <w:autoSpaceDE/>
        <w:autoSpaceDN/>
        <w:bidi w:val="0"/>
        <w:adjustRightInd/>
        <w:snapToGrid/>
        <w:spacing w:beforeLines="0" w:afterLines="0" w:line="480" w:lineRule="exact"/>
        <w:ind w:left="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消防供配电设施；2、火灾自动报警系统；3、电气火灾监控系统；4、可燃气体探测报警系统；5、消防供水设施；6、消火栓（消防炮）灭火系统；7、自动喷水灭火系统；8、干式自动喷水灭火系统；9、预作用灭火系统；10、细水雾灭火系统；11、干粉灭火系统；12、泡沫灭火系统；13、气体灭火系统；14、防烟、排烟系统；15、应急照明和疏散指示标识；16、应急广播系统；17、消防专用电话；18、防火分隔设施；19、消防电梯；20、灭火器维护及欠压充装；21、微型消防站巡检维护及失效器材更新；22、1000元/次（含本数）以下的消防零星维修，不限次数；23、其他建筑消防设施。</w:t>
      </w:r>
    </w:p>
    <w:p w14:paraId="3444AB4B">
      <w:pPr>
        <w:pStyle w:val="60"/>
        <w:keepNext w:val="0"/>
        <w:keepLines w:val="0"/>
        <w:pageBreakBefore w:val="0"/>
        <w:widowControl/>
        <w:kinsoku/>
        <w:wordWrap/>
        <w:overflowPunct/>
        <w:topLinePunct/>
        <w:autoSpaceDE/>
        <w:autoSpaceDN/>
        <w:bidi w:val="0"/>
        <w:adjustRightInd/>
        <w:snapToGrid/>
        <w:spacing w:beforeLines="0" w:afterLines="0" w:line="480" w:lineRule="exact"/>
        <w:ind w:left="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二</w:t>
      </w:r>
      <w:r>
        <w:rPr>
          <w:rFonts w:hint="eastAsia" w:ascii="宋体" w:hAnsi="宋体" w:cs="宋体"/>
          <w:kern w:val="2"/>
          <w:sz w:val="24"/>
          <w:szCs w:val="24"/>
          <w:highlight w:val="none"/>
          <w:lang w:val="en-US" w:eastAsia="zh-CN" w:bidi="ar-SA"/>
        </w:rPr>
        <w:t>、</w:t>
      </w:r>
      <w:r>
        <w:rPr>
          <w:rFonts w:hint="eastAsia" w:ascii="宋体" w:hAnsi="宋体" w:eastAsia="宋体" w:cs="宋体"/>
          <w:kern w:val="2"/>
          <w:sz w:val="24"/>
          <w:szCs w:val="24"/>
          <w:highlight w:val="none"/>
          <w:lang w:val="en-US" w:eastAsia="zh-CN" w:bidi="ar-SA"/>
        </w:rPr>
        <w:t>服务内容</w:t>
      </w:r>
    </w:p>
    <w:p w14:paraId="354365A1">
      <w:pPr>
        <w:pStyle w:val="60"/>
        <w:keepNext w:val="0"/>
        <w:keepLines w:val="0"/>
        <w:pageBreakBefore w:val="0"/>
        <w:widowControl/>
        <w:kinsoku/>
        <w:wordWrap/>
        <w:overflowPunct/>
        <w:topLinePunct/>
        <w:autoSpaceDE/>
        <w:autoSpaceDN/>
        <w:bidi w:val="0"/>
        <w:adjustRightInd/>
        <w:snapToGrid/>
        <w:spacing w:beforeLines="0" w:afterLines="0" w:line="480" w:lineRule="exact"/>
        <w:ind w:left="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1.日常服务。乙方应当向甲方提供以下日常服务：</w:t>
      </w:r>
    </w:p>
    <w:p w14:paraId="33C2084A">
      <w:pPr>
        <w:pStyle w:val="60"/>
        <w:keepNext w:val="0"/>
        <w:keepLines w:val="0"/>
        <w:pageBreakBefore w:val="0"/>
        <w:widowControl/>
        <w:kinsoku/>
        <w:wordWrap/>
        <w:overflowPunct/>
        <w:topLinePunct/>
        <w:autoSpaceDE/>
        <w:autoSpaceDN/>
        <w:bidi w:val="0"/>
        <w:adjustRightInd/>
        <w:snapToGrid/>
        <w:spacing w:beforeLines="0" w:afterLines="0" w:line="480" w:lineRule="exact"/>
        <w:ind w:left="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（1）对甲方消防设施维护管理、更新改造和二次装修现场消防设施拆除、安装等提供专业咨询服务（含派人到现场进行检查、指导等）；</w:t>
      </w:r>
    </w:p>
    <w:p w14:paraId="3C7DE17A">
      <w:pPr>
        <w:pStyle w:val="60"/>
        <w:keepNext w:val="0"/>
        <w:keepLines w:val="0"/>
        <w:pageBreakBefore w:val="0"/>
        <w:widowControl/>
        <w:kinsoku/>
        <w:wordWrap/>
        <w:overflowPunct/>
        <w:topLinePunct/>
        <w:autoSpaceDE/>
        <w:autoSpaceDN/>
        <w:bidi w:val="0"/>
        <w:adjustRightInd/>
        <w:snapToGrid/>
        <w:spacing w:beforeLines="0" w:afterLines="0" w:line="480" w:lineRule="exact"/>
        <w:ind w:left="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（2）每年对甲方消防设施值班和管理人员提供至少二次的专业培训，参加至少二次甲方组织的相关应急演练；</w:t>
      </w:r>
    </w:p>
    <w:p w14:paraId="459A511C">
      <w:pPr>
        <w:pStyle w:val="60"/>
        <w:keepNext w:val="0"/>
        <w:keepLines w:val="0"/>
        <w:pageBreakBefore w:val="0"/>
        <w:widowControl/>
        <w:kinsoku/>
        <w:wordWrap/>
        <w:overflowPunct/>
        <w:topLinePunct/>
        <w:autoSpaceDE/>
        <w:autoSpaceDN/>
        <w:bidi w:val="0"/>
        <w:adjustRightInd/>
        <w:snapToGrid/>
        <w:spacing w:beforeLines="0" w:afterLines="0" w:line="480" w:lineRule="exact"/>
        <w:ind w:left="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（3）配合参与甲方组织的新项目开业消防设施检查、检测活动；</w:t>
      </w:r>
    </w:p>
    <w:p w14:paraId="7082510E">
      <w:pPr>
        <w:pStyle w:val="60"/>
        <w:keepNext w:val="0"/>
        <w:keepLines w:val="0"/>
        <w:pageBreakBefore w:val="0"/>
        <w:widowControl/>
        <w:kinsoku/>
        <w:wordWrap/>
        <w:overflowPunct/>
        <w:topLinePunct/>
        <w:autoSpaceDE/>
        <w:autoSpaceDN/>
        <w:bidi w:val="0"/>
        <w:adjustRightInd/>
        <w:snapToGrid/>
        <w:spacing w:beforeLines="0" w:afterLines="0" w:line="480" w:lineRule="exact"/>
        <w:ind w:left="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（4）重要节假日、重大活动等按甲方需要或者政府有关部门指令增加提供维保、检测服务。</w:t>
      </w:r>
    </w:p>
    <w:p w14:paraId="673CA550">
      <w:pPr>
        <w:pStyle w:val="60"/>
        <w:keepNext w:val="0"/>
        <w:keepLines w:val="0"/>
        <w:pageBreakBefore w:val="0"/>
        <w:widowControl/>
        <w:kinsoku/>
        <w:wordWrap/>
        <w:overflowPunct/>
        <w:topLinePunct/>
        <w:autoSpaceDE/>
        <w:autoSpaceDN/>
        <w:bidi w:val="0"/>
        <w:adjustRightInd/>
        <w:snapToGrid/>
        <w:spacing w:beforeLines="0" w:afterLines="0" w:line="480" w:lineRule="exact"/>
        <w:ind w:left="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2</w:t>
      </w:r>
      <w:r>
        <w:rPr>
          <w:rFonts w:hint="eastAsia" w:ascii="宋体" w:hAnsi="宋体" w:eastAsia="宋体" w:cs="宋体"/>
          <w:kern w:val="2"/>
          <w:sz w:val="24"/>
          <w:szCs w:val="24"/>
          <w:highlight w:val="none"/>
          <w:lang w:val="en-US" w:eastAsia="zh-CN" w:bidi="ar-SA"/>
        </w:rPr>
        <w:t>.定期服务。乙方应当对项目消防设施每月提供至少一次维保服务，每月抽检点位不少于项目点位10%，每年提供至少一次项目消防监测点位全覆盖检测服务。</w:t>
      </w:r>
    </w:p>
    <w:p w14:paraId="26C7E5FB">
      <w:pPr>
        <w:pStyle w:val="60"/>
        <w:keepNext w:val="0"/>
        <w:keepLines w:val="0"/>
        <w:pageBreakBefore w:val="0"/>
        <w:widowControl/>
        <w:kinsoku/>
        <w:wordWrap/>
        <w:overflowPunct/>
        <w:topLinePunct/>
        <w:autoSpaceDE/>
        <w:autoSpaceDN/>
        <w:bidi w:val="0"/>
        <w:adjustRightInd/>
        <w:snapToGrid/>
        <w:spacing w:beforeLines="0" w:afterLines="0" w:line="480" w:lineRule="exact"/>
        <w:ind w:left="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3</w:t>
      </w:r>
      <w:r>
        <w:rPr>
          <w:rFonts w:hint="eastAsia" w:ascii="宋体" w:hAnsi="宋体" w:eastAsia="宋体" w:cs="宋体"/>
          <w:kern w:val="2"/>
          <w:sz w:val="24"/>
          <w:szCs w:val="24"/>
          <w:highlight w:val="none"/>
          <w:lang w:val="en-US" w:eastAsia="zh-CN" w:bidi="ar-SA"/>
        </w:rPr>
        <w:t>.退出服务。乙方应当在本合同到期前一个月内，组织对项目消防设施进行一次全面检测，向甲方提交项目消防设施检测报告。</w:t>
      </w:r>
    </w:p>
    <w:p w14:paraId="56FCD87C">
      <w:pPr>
        <w:pStyle w:val="60"/>
        <w:keepNext w:val="0"/>
        <w:keepLines w:val="0"/>
        <w:pageBreakBefore w:val="0"/>
        <w:widowControl/>
        <w:kinsoku/>
        <w:wordWrap/>
        <w:overflowPunct/>
        <w:topLinePunct/>
        <w:autoSpaceDE/>
        <w:autoSpaceDN/>
        <w:bidi w:val="0"/>
        <w:adjustRightInd/>
        <w:snapToGrid/>
        <w:spacing w:beforeLines="0" w:afterLines="0" w:line="480" w:lineRule="exact"/>
        <w:ind w:left="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三</w:t>
      </w:r>
      <w:r>
        <w:rPr>
          <w:rFonts w:hint="eastAsia" w:ascii="宋体" w:hAnsi="宋体" w:cs="宋体"/>
          <w:kern w:val="2"/>
          <w:sz w:val="24"/>
          <w:szCs w:val="24"/>
          <w:highlight w:val="none"/>
          <w:lang w:val="en-US" w:eastAsia="zh-CN" w:bidi="ar-SA"/>
        </w:rPr>
        <w:t>、</w:t>
      </w:r>
      <w:r>
        <w:rPr>
          <w:rFonts w:hint="eastAsia" w:ascii="宋体" w:hAnsi="宋体" w:eastAsia="宋体" w:cs="宋体"/>
          <w:kern w:val="2"/>
          <w:sz w:val="24"/>
          <w:szCs w:val="24"/>
          <w:highlight w:val="none"/>
          <w:lang w:val="en-US" w:eastAsia="zh-CN" w:bidi="ar-SA"/>
        </w:rPr>
        <w:t>服务标准</w:t>
      </w:r>
    </w:p>
    <w:p w14:paraId="3035A898">
      <w:pPr>
        <w:pStyle w:val="60"/>
        <w:keepNext w:val="0"/>
        <w:keepLines w:val="0"/>
        <w:pageBreakBefore w:val="0"/>
        <w:widowControl/>
        <w:kinsoku/>
        <w:wordWrap/>
        <w:overflowPunct/>
        <w:topLinePunct/>
        <w:autoSpaceDE/>
        <w:autoSpaceDN/>
        <w:bidi w:val="0"/>
        <w:adjustRightInd/>
        <w:snapToGrid/>
        <w:spacing w:beforeLines="0" w:afterLines="0" w:line="480" w:lineRule="exact"/>
        <w:ind w:left="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乙方开展项目消防设施维保服务，同时符合下列工作要求：</w:t>
      </w:r>
    </w:p>
    <w:p w14:paraId="16BDBAE7">
      <w:pPr>
        <w:pStyle w:val="60"/>
        <w:keepNext w:val="0"/>
        <w:keepLines w:val="0"/>
        <w:pageBreakBefore w:val="0"/>
        <w:widowControl/>
        <w:kinsoku/>
        <w:wordWrap/>
        <w:overflowPunct/>
        <w:topLinePunct/>
        <w:autoSpaceDE/>
        <w:autoSpaceDN/>
        <w:bidi w:val="0"/>
        <w:adjustRightInd/>
        <w:snapToGrid/>
        <w:spacing w:beforeLines="0" w:afterLines="0" w:line="480" w:lineRule="exact"/>
        <w:ind w:left="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1.对项目消防设施组件的外观和工作状态进行检查，对存在破损、变形、锈蚀、渗漏等情况的，及时采取修理、更换、除锈等措施恢复正常。</w:t>
      </w:r>
    </w:p>
    <w:p w14:paraId="4AFE3241">
      <w:pPr>
        <w:pStyle w:val="60"/>
        <w:keepNext w:val="0"/>
        <w:keepLines w:val="0"/>
        <w:pageBreakBefore w:val="0"/>
        <w:widowControl/>
        <w:kinsoku/>
        <w:wordWrap/>
        <w:overflowPunct/>
        <w:topLinePunct/>
        <w:autoSpaceDE/>
        <w:autoSpaceDN/>
        <w:bidi w:val="0"/>
        <w:adjustRightInd/>
        <w:snapToGrid/>
        <w:spacing w:beforeLines="0" w:afterLines="0" w:line="480" w:lineRule="exact"/>
        <w:ind w:left="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2.对项目消防设施线路、管道、阀门及控制阀门的铅封、锁链等进行检查，对存在破损、松动、锈蚀、渗漏等情况的，及时采取补漏、紧固、除锈、刷漆、润滑、更换等措施，恢复正常。</w:t>
      </w:r>
    </w:p>
    <w:p w14:paraId="2EC0B2E6">
      <w:pPr>
        <w:pStyle w:val="60"/>
        <w:keepNext w:val="0"/>
        <w:keepLines w:val="0"/>
        <w:pageBreakBefore w:val="0"/>
        <w:widowControl/>
        <w:kinsoku/>
        <w:wordWrap/>
        <w:overflowPunct/>
        <w:topLinePunct/>
        <w:autoSpaceDE/>
        <w:autoSpaceDN/>
        <w:bidi w:val="0"/>
        <w:adjustRightInd/>
        <w:snapToGrid/>
        <w:spacing w:beforeLines="0" w:afterLines="0" w:line="480" w:lineRule="exact"/>
        <w:ind w:left="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3.定期对项目消防设施进行功能测试，其维保周期和内容不应低于本合同附件1的规定。对经测试达不到工作标准的，应当及时查找原因并采取相应措施予以消除，确保消防设施处于正常工作状态。</w:t>
      </w:r>
    </w:p>
    <w:p w14:paraId="670D7B79">
      <w:pPr>
        <w:pStyle w:val="60"/>
        <w:keepNext w:val="0"/>
        <w:keepLines w:val="0"/>
        <w:pageBreakBefore w:val="0"/>
        <w:widowControl/>
        <w:kinsoku/>
        <w:wordWrap/>
        <w:overflowPunct/>
        <w:topLinePunct/>
        <w:autoSpaceDE/>
        <w:autoSpaceDN/>
        <w:bidi w:val="0"/>
        <w:adjustRightInd/>
        <w:snapToGrid/>
        <w:spacing w:beforeLines="0" w:afterLines="0" w:line="480" w:lineRule="exact"/>
        <w:ind w:left="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4.每年依据国家消防规范要求对项目消防设施全覆盖维护保养。</w:t>
      </w:r>
    </w:p>
    <w:p w14:paraId="4F5893A2">
      <w:pPr>
        <w:pStyle w:val="60"/>
        <w:keepNext w:val="0"/>
        <w:keepLines w:val="0"/>
        <w:pageBreakBefore w:val="0"/>
        <w:widowControl/>
        <w:kinsoku/>
        <w:wordWrap/>
        <w:overflowPunct/>
        <w:topLinePunct/>
        <w:autoSpaceDE/>
        <w:autoSpaceDN/>
        <w:bidi w:val="0"/>
        <w:adjustRightInd/>
        <w:snapToGrid/>
        <w:spacing w:beforeLines="0" w:afterLines="0" w:line="480" w:lineRule="exact"/>
        <w:ind w:left="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5.火灾探测报警产品的维保应当按照【GB 29837】的规定执行，维保作业完成后应按规定接入复检；需维修、报废的灭火器应当由取得灭火器维修资质的单位进行处理。</w:t>
      </w:r>
    </w:p>
    <w:p w14:paraId="25E57203">
      <w:pPr>
        <w:pStyle w:val="60"/>
        <w:keepNext w:val="0"/>
        <w:keepLines w:val="0"/>
        <w:pageBreakBefore w:val="0"/>
        <w:widowControl/>
        <w:kinsoku/>
        <w:wordWrap/>
        <w:overflowPunct/>
        <w:topLinePunct/>
        <w:autoSpaceDE/>
        <w:autoSpaceDN/>
        <w:bidi w:val="0"/>
        <w:adjustRightInd/>
        <w:snapToGrid/>
        <w:spacing w:beforeLines="0" w:afterLines="0" w:line="480" w:lineRule="exact"/>
        <w:ind w:left="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6.乙方对项目消防设施进行检查、测试时，应当及时、客观、真实、完整地进行记录，其服务记录应当提交甲方和政府有关部门审核、备案（记录格式、备案，以政府有关部门要求为准）。主要记录包括：</w:t>
      </w:r>
    </w:p>
    <w:p w14:paraId="762C9BB1">
      <w:pPr>
        <w:pStyle w:val="60"/>
        <w:keepNext w:val="0"/>
        <w:keepLines w:val="0"/>
        <w:pageBreakBefore w:val="0"/>
        <w:widowControl/>
        <w:kinsoku/>
        <w:wordWrap/>
        <w:overflowPunct/>
        <w:topLinePunct/>
        <w:autoSpaceDE/>
        <w:autoSpaceDN/>
        <w:bidi w:val="0"/>
        <w:adjustRightInd/>
        <w:snapToGrid/>
        <w:spacing w:beforeLines="0" w:afterLines="0" w:line="480" w:lineRule="exact"/>
        <w:ind w:left="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（1）对日常检查、测试的情况，应当填写《建筑消防设施维护保养测试检查记录表》，并编制《月度建筑消防设施维护保养报告》。</w:t>
      </w:r>
    </w:p>
    <w:p w14:paraId="45D0CE94">
      <w:pPr>
        <w:pStyle w:val="60"/>
        <w:keepNext w:val="0"/>
        <w:keepLines w:val="0"/>
        <w:pageBreakBefore w:val="0"/>
        <w:widowControl/>
        <w:kinsoku/>
        <w:wordWrap/>
        <w:overflowPunct/>
        <w:topLinePunct/>
        <w:autoSpaceDE/>
        <w:autoSpaceDN/>
        <w:bidi w:val="0"/>
        <w:adjustRightInd/>
        <w:snapToGrid/>
        <w:spacing w:beforeLines="0" w:afterLines="0" w:line="480" w:lineRule="exact"/>
        <w:ind w:left="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（2）对年度等检测的情况，应当编制年度《建筑消防设施检测报告书》。</w:t>
      </w:r>
    </w:p>
    <w:p w14:paraId="3FB14376">
      <w:pPr>
        <w:pStyle w:val="60"/>
        <w:keepNext w:val="0"/>
        <w:keepLines w:val="0"/>
        <w:pageBreakBefore w:val="0"/>
        <w:widowControl/>
        <w:kinsoku/>
        <w:wordWrap/>
        <w:overflowPunct/>
        <w:topLinePunct/>
        <w:autoSpaceDE/>
        <w:autoSpaceDN/>
        <w:bidi w:val="0"/>
        <w:adjustRightInd/>
        <w:snapToGrid/>
        <w:spacing w:beforeLines="0" w:afterLines="0" w:line="480" w:lineRule="exact"/>
        <w:ind w:left="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（3）对发现的问题和故障，应当组织维修，填写《建筑消防设施故障维修记录表》。</w:t>
      </w:r>
    </w:p>
    <w:p w14:paraId="2DB6F2B8">
      <w:pPr>
        <w:pStyle w:val="60"/>
        <w:keepNext w:val="0"/>
        <w:keepLines w:val="0"/>
        <w:pageBreakBefore w:val="0"/>
        <w:widowControl/>
        <w:kinsoku/>
        <w:wordWrap/>
        <w:overflowPunct/>
        <w:topLinePunct/>
        <w:autoSpaceDE/>
        <w:autoSpaceDN/>
        <w:bidi w:val="0"/>
        <w:adjustRightInd/>
        <w:snapToGrid/>
        <w:spacing w:beforeLines="0" w:afterLines="0" w:line="480" w:lineRule="exact"/>
        <w:ind w:left="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7.如乙方提供驻场服务，则驻场人员应具备从业资质，服从乙方及甲方项目现场的管理规定，并按照合同约定完成现场维保工作，确保维保范围内的设施设备正常运行，驻场费用已包含在维保费中。</w:t>
      </w:r>
    </w:p>
    <w:p w14:paraId="72C2E55D">
      <w:pPr>
        <w:pStyle w:val="60"/>
        <w:keepNext w:val="0"/>
        <w:keepLines w:val="0"/>
        <w:pageBreakBefore w:val="0"/>
        <w:widowControl/>
        <w:kinsoku/>
        <w:wordWrap/>
        <w:overflowPunct/>
        <w:topLinePunct/>
        <w:autoSpaceDE/>
        <w:autoSpaceDN/>
        <w:bidi w:val="0"/>
        <w:adjustRightInd/>
        <w:snapToGrid/>
        <w:spacing w:beforeLines="0" w:afterLines="0" w:line="480" w:lineRule="exact"/>
        <w:ind w:left="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8.如甲方在客户或相关方组织的服务评价中（包括但不限于满意度调查，神秘访客调查等）获得负面评价，或收到客户或相关方口头、电话或书面投诉，经判定确认与乙方服务内容相关的，甲方有权扣减乙方履约保证金或当期维保费用，同时有权要求乙方立即整改，如扣减金额不足以弥补甲方损失的，乙方仍应承担赔偿责任。</w:t>
      </w:r>
    </w:p>
    <w:p w14:paraId="769ED0BB">
      <w:pPr>
        <w:pStyle w:val="60"/>
        <w:keepNext w:val="0"/>
        <w:keepLines w:val="0"/>
        <w:pageBreakBefore w:val="0"/>
        <w:widowControl/>
        <w:kinsoku/>
        <w:wordWrap/>
        <w:overflowPunct/>
        <w:topLinePunct/>
        <w:autoSpaceDE/>
        <w:autoSpaceDN/>
        <w:bidi w:val="0"/>
        <w:adjustRightInd/>
        <w:snapToGrid/>
        <w:spacing w:beforeLines="0" w:afterLines="0" w:line="480" w:lineRule="exact"/>
        <w:ind w:left="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四</w:t>
      </w:r>
      <w:r>
        <w:rPr>
          <w:rFonts w:hint="eastAsia" w:ascii="宋体" w:hAnsi="宋体" w:cs="宋体"/>
          <w:kern w:val="2"/>
          <w:sz w:val="24"/>
          <w:szCs w:val="24"/>
          <w:highlight w:val="none"/>
          <w:lang w:val="en-US" w:eastAsia="zh-CN" w:bidi="ar-SA"/>
        </w:rPr>
        <w:t>、</w:t>
      </w:r>
      <w:r>
        <w:rPr>
          <w:rFonts w:hint="eastAsia" w:ascii="宋体" w:hAnsi="宋体" w:eastAsia="宋体" w:cs="宋体"/>
          <w:kern w:val="2"/>
          <w:sz w:val="24"/>
          <w:szCs w:val="24"/>
          <w:highlight w:val="none"/>
          <w:lang w:val="en-US" w:eastAsia="zh-CN" w:bidi="ar-SA"/>
        </w:rPr>
        <w:t>服务质量</w:t>
      </w:r>
    </w:p>
    <w:p w14:paraId="4FACF361">
      <w:pPr>
        <w:pStyle w:val="60"/>
        <w:keepNext w:val="0"/>
        <w:keepLines w:val="0"/>
        <w:pageBreakBefore w:val="0"/>
        <w:widowControl/>
        <w:kinsoku/>
        <w:wordWrap/>
        <w:overflowPunct/>
        <w:topLinePunct/>
        <w:autoSpaceDE/>
        <w:autoSpaceDN/>
        <w:bidi w:val="0"/>
        <w:adjustRightInd/>
        <w:snapToGrid/>
        <w:spacing w:beforeLines="0" w:afterLines="0" w:line="480" w:lineRule="exact"/>
        <w:ind w:left="0" w:firstLine="480" w:firstLineChars="200"/>
        <w:jc w:val="center"/>
        <w:textAlignment w:val="auto"/>
        <w:rPr>
          <w:rFonts w:hint="eastAsia" w:ascii="宋体" w:hAnsi="宋体" w:cs="宋体"/>
          <w:b/>
          <w:bCs/>
          <w:sz w:val="32"/>
          <w:szCs w:val="32"/>
        </w:rPr>
      </w:pPr>
      <w:r>
        <w:rPr>
          <w:rFonts w:hint="eastAsia" w:ascii="宋体" w:hAnsi="宋体" w:eastAsia="宋体" w:cs="宋体"/>
          <w:kern w:val="2"/>
          <w:sz w:val="24"/>
          <w:szCs w:val="24"/>
          <w:highlight w:val="none"/>
          <w:lang w:val="en-US" w:eastAsia="zh-CN" w:bidi="ar-SA"/>
        </w:rPr>
        <w:t>乙方应当按照【《建筑消防设施的维护管理》(GB25201)】等国家标准、行业标准规定的维保方式、方法、内容、程序、技术标准要求，开展消防设施维保服务，保证经过维保的项目消防设施的质量符合国家、地方政府和行业标准。</w:t>
      </w:r>
      <w:r>
        <w:rPr>
          <w:rFonts w:hint="eastAsia" w:ascii="宋体" w:hAnsi="宋体" w:cs="宋体"/>
          <w:b/>
          <w:color w:val="000000"/>
          <w:sz w:val="24"/>
        </w:rPr>
        <w:br w:type="page"/>
      </w:r>
      <w:r>
        <w:rPr>
          <w:rFonts w:hint="eastAsia" w:ascii="宋体" w:hAnsi="宋体" w:cs="宋体"/>
          <w:b/>
          <w:bCs/>
          <w:sz w:val="32"/>
          <w:szCs w:val="32"/>
        </w:rPr>
        <w:t>第五章 评审方法和评审标准</w:t>
      </w:r>
    </w:p>
    <w:p w14:paraId="3E4A0E47">
      <w:pPr>
        <w:pStyle w:val="2"/>
        <w:spacing w:before="0" w:after="0" w:line="480" w:lineRule="exact"/>
        <w:ind w:firstLine="482" w:firstLineChars="200"/>
        <w:jc w:val="both"/>
        <w:rPr>
          <w:rFonts w:hint="eastAsia" w:ascii="宋体" w:hAnsi="宋体" w:eastAsia="宋体" w:cs="宋体"/>
          <w:b w:val="0"/>
          <w:sz w:val="24"/>
          <w:szCs w:val="24"/>
        </w:rPr>
      </w:pPr>
      <w:r>
        <w:rPr>
          <w:rFonts w:hint="eastAsia" w:ascii="宋体" w:hAnsi="宋体" w:eastAsia="宋体" w:cs="宋体"/>
          <w:sz w:val="24"/>
          <w:szCs w:val="24"/>
        </w:rPr>
        <w:t>评标方法：本次采购采用综合评分法</w:t>
      </w:r>
      <w:r>
        <w:rPr>
          <w:rFonts w:hint="eastAsia" w:ascii="宋体" w:hAnsi="宋体" w:eastAsia="宋体" w:cs="宋体"/>
          <w:b w:val="0"/>
          <w:sz w:val="24"/>
          <w:szCs w:val="24"/>
        </w:rPr>
        <w:t>。</w:t>
      </w:r>
    </w:p>
    <w:p w14:paraId="44745341">
      <w:pPr>
        <w:widowControl/>
        <w:tabs>
          <w:tab w:val="left" w:pos="0"/>
          <w:tab w:val="left" w:pos="993"/>
          <w:tab w:val="left" w:pos="1134"/>
        </w:tabs>
        <w:adjustRightInd w:val="0"/>
        <w:snapToGrid w:val="0"/>
        <w:spacing w:line="480" w:lineRule="exact"/>
        <w:ind w:firstLine="480" w:firstLineChars="200"/>
        <w:rPr>
          <w:rFonts w:hint="eastAsia" w:ascii="宋体" w:hAnsi="宋体" w:cs="宋体"/>
          <w:sz w:val="24"/>
        </w:rPr>
      </w:pPr>
      <w:r>
        <w:rPr>
          <w:rFonts w:hint="eastAsia" w:ascii="宋体" w:hAnsi="宋体" w:cs="宋体"/>
          <w:bCs/>
          <w:sz w:val="24"/>
        </w:rPr>
        <w:t>一、评标程序及评标标准</w:t>
      </w:r>
    </w:p>
    <w:p w14:paraId="78D7BED3">
      <w:pPr>
        <w:spacing w:line="480" w:lineRule="exact"/>
        <w:ind w:firstLine="480" w:firstLineChars="200"/>
        <w:rPr>
          <w:rFonts w:hint="eastAsia" w:ascii="宋体" w:hAnsi="宋体" w:cs="宋体"/>
          <w:bCs/>
          <w:sz w:val="24"/>
        </w:rPr>
      </w:pPr>
      <w:r>
        <w:rPr>
          <w:rFonts w:hint="eastAsia" w:ascii="宋体" w:hAnsi="宋体" w:cs="宋体"/>
          <w:bCs/>
          <w:sz w:val="24"/>
          <w:lang w:eastAsia="zh-CN"/>
        </w:rPr>
        <w:t>1.</w:t>
      </w:r>
      <w:r>
        <w:rPr>
          <w:rFonts w:hint="eastAsia" w:ascii="宋体" w:hAnsi="宋体" w:cs="宋体"/>
          <w:bCs/>
          <w:sz w:val="24"/>
        </w:rPr>
        <w:t>资格条件评审—商务技术部分评审—价格部分评审—推荐成交供应商。</w:t>
      </w:r>
    </w:p>
    <w:p w14:paraId="47C7701C">
      <w:pPr>
        <w:spacing w:line="480" w:lineRule="exact"/>
        <w:ind w:firstLine="480" w:firstLineChars="200"/>
        <w:rPr>
          <w:rFonts w:hint="eastAsia" w:ascii="宋体" w:hAnsi="宋体" w:cs="宋体"/>
          <w:bCs/>
          <w:sz w:val="24"/>
        </w:rPr>
      </w:pPr>
      <w:r>
        <w:rPr>
          <w:rFonts w:hint="eastAsia" w:ascii="宋体" w:hAnsi="宋体" w:cs="宋体"/>
          <w:bCs/>
          <w:sz w:val="24"/>
        </w:rPr>
        <w:t>二、资格审查程序及评审内容</w:t>
      </w:r>
    </w:p>
    <w:p w14:paraId="6495A6C4">
      <w:pPr>
        <w:spacing w:line="480" w:lineRule="exact"/>
        <w:ind w:firstLine="480" w:firstLineChars="200"/>
        <w:rPr>
          <w:rFonts w:hint="eastAsia" w:ascii="宋体" w:hAnsi="宋体" w:cs="宋体"/>
          <w:bCs/>
          <w:sz w:val="24"/>
        </w:rPr>
      </w:pPr>
      <w:r>
        <w:rPr>
          <w:rFonts w:hint="eastAsia" w:ascii="宋体" w:hAnsi="宋体" w:cs="宋体"/>
          <w:bCs/>
          <w:sz w:val="24"/>
          <w:lang w:eastAsia="zh-CN"/>
        </w:rPr>
        <w:t>1.</w:t>
      </w:r>
      <w:r>
        <w:rPr>
          <w:rFonts w:hint="eastAsia" w:ascii="宋体" w:hAnsi="宋体" w:cs="宋体"/>
          <w:bCs/>
          <w:sz w:val="24"/>
        </w:rPr>
        <w:t>供应商全部进入资格审查，由磋商小组根据参加资格审查的供应商递交的资格审查证明文件，并按照本采购项目磋商文件《资格审查标准》对供应商的资格进行审查。</w:t>
      </w:r>
    </w:p>
    <w:p w14:paraId="183EF338">
      <w:pPr>
        <w:widowControl/>
        <w:tabs>
          <w:tab w:val="left" w:pos="0"/>
          <w:tab w:val="left" w:pos="993"/>
          <w:tab w:val="left" w:pos="1134"/>
        </w:tabs>
        <w:adjustRightInd w:val="0"/>
        <w:snapToGrid w:val="0"/>
        <w:spacing w:line="480" w:lineRule="exact"/>
        <w:ind w:firstLine="480" w:firstLineChars="200"/>
        <w:rPr>
          <w:rFonts w:hint="eastAsia" w:ascii="宋体" w:hAnsi="宋体" w:cs="宋体"/>
          <w:bCs/>
          <w:sz w:val="24"/>
        </w:rPr>
      </w:pPr>
      <w:r>
        <w:rPr>
          <w:rFonts w:hint="eastAsia" w:ascii="宋体" w:hAnsi="宋体" w:cs="宋体"/>
          <w:bCs/>
          <w:sz w:val="24"/>
          <w:lang w:eastAsia="zh-CN"/>
        </w:rPr>
        <w:t>2.</w:t>
      </w:r>
      <w:r>
        <w:rPr>
          <w:rFonts w:hint="eastAsia" w:ascii="宋体" w:hAnsi="宋体" w:cs="宋体"/>
          <w:bCs/>
          <w:sz w:val="24"/>
        </w:rPr>
        <w:t>本次资格审查采用符合性审查，各供应商资格审查通过后方能进入技术部分及价格评审。</w:t>
      </w:r>
    </w:p>
    <w:p w14:paraId="69A2AD3B">
      <w:pPr>
        <w:widowControl/>
        <w:tabs>
          <w:tab w:val="left" w:pos="0"/>
          <w:tab w:val="left" w:pos="993"/>
          <w:tab w:val="left" w:pos="1134"/>
        </w:tabs>
        <w:adjustRightInd w:val="0"/>
        <w:snapToGrid w:val="0"/>
        <w:spacing w:line="480" w:lineRule="exact"/>
        <w:ind w:firstLine="482" w:firstLineChars="200"/>
        <w:rPr>
          <w:rFonts w:hint="eastAsia" w:ascii="宋体" w:hAnsi="宋体" w:cs="宋体"/>
          <w:b/>
          <w:bCs/>
          <w:sz w:val="24"/>
        </w:rPr>
      </w:pPr>
      <w:r>
        <w:rPr>
          <w:rFonts w:hint="eastAsia" w:ascii="宋体" w:hAnsi="宋体" w:cs="宋体"/>
          <w:b/>
          <w:bCs/>
          <w:sz w:val="24"/>
          <w:lang w:eastAsia="zh-CN"/>
        </w:rPr>
        <w:t>3.</w:t>
      </w:r>
      <w:r>
        <w:rPr>
          <w:rFonts w:hint="eastAsia" w:ascii="宋体" w:hAnsi="宋体" w:cs="宋体"/>
          <w:b/>
          <w:bCs/>
          <w:sz w:val="24"/>
        </w:rPr>
        <w:t>资格性审查必要合格条件标准如下：</w:t>
      </w:r>
    </w:p>
    <w:p w14:paraId="5E1BA749">
      <w:pPr>
        <w:spacing w:line="480" w:lineRule="exact"/>
        <w:ind w:firstLine="480" w:firstLineChars="200"/>
        <w:rPr>
          <w:rFonts w:hint="eastAsia" w:ascii="宋体" w:hAnsi="宋体" w:cs="宋体"/>
          <w:bCs/>
          <w:color w:val="000000"/>
          <w:sz w:val="24"/>
        </w:rPr>
      </w:pPr>
      <w:r>
        <w:rPr>
          <w:rFonts w:hint="eastAsia" w:ascii="宋体" w:hAnsi="宋体" w:cs="宋体"/>
          <w:bCs/>
          <w:color w:val="000000"/>
          <w:sz w:val="24"/>
        </w:rPr>
        <w:t>（1）法定代表人身份证明书及法定代表人身份证复印件；</w:t>
      </w:r>
    </w:p>
    <w:p w14:paraId="79DAF81E">
      <w:pPr>
        <w:spacing w:line="480" w:lineRule="exact"/>
        <w:ind w:firstLine="480" w:firstLineChars="200"/>
        <w:rPr>
          <w:rFonts w:hint="eastAsia" w:ascii="宋体" w:hAnsi="宋体" w:cs="宋体"/>
          <w:bCs/>
          <w:color w:val="000000"/>
          <w:sz w:val="24"/>
        </w:rPr>
      </w:pPr>
      <w:r>
        <w:rPr>
          <w:rFonts w:hint="eastAsia" w:ascii="宋体" w:hAnsi="宋体" w:cs="宋体"/>
          <w:bCs/>
          <w:color w:val="000000"/>
          <w:sz w:val="24"/>
        </w:rPr>
        <w:t>（2）法定代表人授权委托书及授权代理人身份证复印件（如有授权）；</w:t>
      </w:r>
    </w:p>
    <w:p w14:paraId="707107FE">
      <w:pPr>
        <w:spacing w:line="480" w:lineRule="exact"/>
        <w:ind w:firstLine="480" w:firstLineChars="200"/>
        <w:rPr>
          <w:rFonts w:hint="eastAsia" w:ascii="宋体" w:hAnsi="宋体" w:cs="宋体"/>
          <w:bCs/>
          <w:color w:val="000000"/>
          <w:sz w:val="24"/>
        </w:rPr>
      </w:pPr>
      <w:r>
        <w:rPr>
          <w:rFonts w:hint="eastAsia" w:ascii="宋体" w:hAnsi="宋体" w:cs="宋体"/>
          <w:bCs/>
          <w:color w:val="000000"/>
          <w:sz w:val="24"/>
        </w:rPr>
        <w:t>（3）供应商有效营业执照复印件；</w:t>
      </w:r>
    </w:p>
    <w:p w14:paraId="71A92B3D">
      <w:pPr>
        <w:spacing w:line="480" w:lineRule="exact"/>
        <w:ind w:firstLine="480" w:firstLineChars="200"/>
        <w:rPr>
          <w:rFonts w:hint="eastAsia" w:ascii="宋体" w:hAnsi="宋体" w:cs="宋体"/>
          <w:bCs/>
          <w:color w:val="000000"/>
          <w:sz w:val="24"/>
          <w:lang w:eastAsia="zh-CN"/>
        </w:rPr>
      </w:pPr>
      <w:r>
        <w:rPr>
          <w:rFonts w:hint="eastAsia" w:ascii="宋体" w:hAnsi="宋体" w:cs="宋体"/>
          <w:bCs/>
          <w:color w:val="000000"/>
          <w:sz w:val="24"/>
        </w:rPr>
        <w:t>（4）声明函（格式见第六章响应文件格式）</w:t>
      </w:r>
      <w:r>
        <w:rPr>
          <w:rFonts w:hint="eastAsia" w:ascii="宋体" w:hAnsi="宋体" w:cs="宋体"/>
          <w:bCs/>
          <w:color w:val="000000"/>
          <w:sz w:val="24"/>
          <w:lang w:eastAsia="zh-CN"/>
        </w:rPr>
        <w:t>；</w:t>
      </w:r>
    </w:p>
    <w:p w14:paraId="65BB0FFD">
      <w:pPr>
        <w:spacing w:line="480" w:lineRule="exact"/>
        <w:ind w:firstLine="480" w:firstLineChars="200"/>
        <w:rPr>
          <w:rFonts w:hint="eastAsia" w:ascii="宋体" w:hAnsi="宋体" w:cs="宋体"/>
          <w:bCs/>
          <w:color w:val="000000"/>
          <w:sz w:val="24"/>
          <w:lang w:eastAsia="zh-CN"/>
        </w:rPr>
      </w:pPr>
      <w:r>
        <w:rPr>
          <w:rFonts w:hint="eastAsia" w:ascii="宋体" w:hAnsi="宋体" w:cs="宋体"/>
          <w:bCs/>
          <w:color w:val="000000"/>
          <w:sz w:val="24"/>
          <w:lang w:eastAsia="zh-CN"/>
        </w:rPr>
        <w:t>（5）供应商符合国家规定的消防技术服务机构的从业条件，供应商在社会消防技术服务信息系统（https://shhxf.119.gov.cn/templet/index_7.jsp）中本单位基本信息已满足要求（单位类型为消防设施维护保养检测）的截图证明；</w:t>
      </w:r>
    </w:p>
    <w:p w14:paraId="603D9CEF">
      <w:pPr>
        <w:spacing w:line="480" w:lineRule="exact"/>
        <w:ind w:firstLine="480" w:firstLineChars="200"/>
        <w:rPr>
          <w:rFonts w:hint="eastAsia" w:ascii="宋体" w:hAnsi="宋体" w:cs="宋体"/>
          <w:bCs/>
          <w:color w:val="000000"/>
          <w:sz w:val="24"/>
          <w:lang w:eastAsia="zh-CN"/>
        </w:rPr>
      </w:pPr>
      <w:r>
        <w:rPr>
          <w:rFonts w:hint="eastAsia" w:ascii="宋体" w:hAnsi="宋体" w:cs="宋体"/>
          <w:bCs/>
          <w:color w:val="000000"/>
          <w:sz w:val="24"/>
          <w:lang w:eastAsia="zh-CN"/>
        </w:rPr>
        <w:t>（6）拟派项目负责人具备注册消防工程师资格。</w:t>
      </w:r>
    </w:p>
    <w:p w14:paraId="4E8A2ADC">
      <w:pPr>
        <w:spacing w:line="480" w:lineRule="exact"/>
        <w:ind w:firstLine="482" w:firstLineChars="200"/>
        <w:rPr>
          <w:rFonts w:hint="eastAsia" w:ascii="宋体" w:hAnsi="宋体" w:cs="宋体"/>
          <w:b/>
          <w:sz w:val="24"/>
        </w:rPr>
      </w:pPr>
      <w:r>
        <w:rPr>
          <w:rFonts w:hint="eastAsia" w:ascii="宋体" w:hAnsi="宋体" w:cs="宋体"/>
          <w:b/>
          <w:sz w:val="24"/>
          <w:lang w:eastAsia="zh-CN"/>
        </w:rPr>
        <w:t>4.</w:t>
      </w:r>
      <w:r>
        <w:rPr>
          <w:rFonts w:hint="eastAsia" w:ascii="宋体" w:hAnsi="宋体" w:cs="宋体"/>
          <w:b/>
          <w:sz w:val="24"/>
        </w:rPr>
        <w:t>评审标准（100分）</w:t>
      </w:r>
    </w:p>
    <w:p w14:paraId="317D4365">
      <w:pPr>
        <w:spacing w:line="480" w:lineRule="exact"/>
        <w:ind w:firstLine="480" w:firstLineChars="200"/>
        <w:rPr>
          <w:rFonts w:hint="eastAsia" w:ascii="宋体" w:hAnsi="宋体" w:cs="宋体"/>
          <w:color w:val="000000"/>
          <w:sz w:val="24"/>
        </w:rPr>
      </w:pPr>
      <w:bookmarkStart w:id="116" w:name="_Toc479962294"/>
      <w:r>
        <w:rPr>
          <w:rFonts w:hint="eastAsia" w:ascii="宋体" w:hAnsi="宋体" w:cs="宋体"/>
          <w:color w:val="000000"/>
          <w:sz w:val="24"/>
        </w:rPr>
        <w:t>（1）评审方式</w:t>
      </w:r>
    </w:p>
    <w:p w14:paraId="7090A6DE">
      <w:pPr>
        <w:spacing w:line="480" w:lineRule="exact"/>
        <w:ind w:firstLine="480" w:firstLineChars="200"/>
        <w:rPr>
          <w:rFonts w:hint="eastAsia" w:ascii="宋体" w:hAnsi="宋体" w:cs="宋体"/>
          <w:sz w:val="24"/>
        </w:rPr>
      </w:pPr>
      <w:r>
        <w:rPr>
          <w:rFonts w:hint="eastAsia" w:ascii="宋体" w:hAnsi="宋体" w:cs="宋体"/>
          <w:color w:val="000000"/>
          <w:sz w:val="24"/>
        </w:rPr>
        <w:t>本项目采用综合评分法，磋商小组将对确定为实质性响应磋商文件要求的响应文件进行评价和比较。评审结果按评审后得分由高到低顺序排列。得分相同的，</w:t>
      </w:r>
      <w:r>
        <w:rPr>
          <w:rFonts w:hint="eastAsia" w:ascii="宋体" w:hAnsi="宋体" w:cs="宋体"/>
          <w:color w:val="000000"/>
          <w:sz w:val="24"/>
          <w:lang w:val="en-US" w:eastAsia="zh-CN"/>
        </w:rPr>
        <w:t>现场抽签确认</w:t>
      </w:r>
      <w:r>
        <w:rPr>
          <w:rFonts w:hint="eastAsia" w:ascii="宋体" w:hAnsi="宋体" w:cs="宋体"/>
          <w:color w:val="000000"/>
          <w:sz w:val="24"/>
        </w:rPr>
        <w:t>。</w:t>
      </w:r>
      <w:r>
        <w:rPr>
          <w:rFonts w:hint="eastAsia" w:ascii="宋体" w:hAnsi="宋体" w:cs="宋体"/>
          <w:sz w:val="24"/>
        </w:rPr>
        <w:t xml:space="preserve"> </w:t>
      </w:r>
    </w:p>
    <w:p w14:paraId="132E9A2D">
      <w:pPr>
        <w:spacing w:line="480" w:lineRule="exact"/>
        <w:ind w:firstLine="480" w:firstLineChars="200"/>
        <w:rPr>
          <w:rFonts w:hint="eastAsia" w:ascii="宋体" w:hAnsi="宋体" w:cs="宋体"/>
          <w:color w:val="000000"/>
          <w:sz w:val="24"/>
        </w:rPr>
      </w:pPr>
      <w:r>
        <w:rPr>
          <w:rFonts w:hint="eastAsia" w:ascii="宋体" w:hAnsi="宋体" w:cs="宋体"/>
          <w:color w:val="000000"/>
          <w:sz w:val="24"/>
        </w:rPr>
        <w:t>（2）评分细则</w:t>
      </w:r>
    </w:p>
    <w:p w14:paraId="0FDB9755">
      <w:pPr>
        <w:spacing w:line="480" w:lineRule="exact"/>
        <w:ind w:firstLine="482" w:firstLineChars="200"/>
        <w:rPr>
          <w:rFonts w:hint="eastAsia" w:ascii="宋体" w:hAnsi="宋体" w:cs="宋体"/>
          <w:b/>
          <w:bCs/>
          <w:sz w:val="24"/>
        </w:rPr>
      </w:pPr>
      <w:r>
        <w:rPr>
          <w:rFonts w:hint="eastAsia" w:ascii="宋体" w:hAnsi="宋体" w:cs="宋体"/>
          <w:b/>
          <w:bCs/>
          <w:sz w:val="24"/>
        </w:rPr>
        <w:t>①技术标评审标准（</w:t>
      </w:r>
      <w:r>
        <w:rPr>
          <w:rFonts w:hint="eastAsia" w:ascii="宋体" w:hAnsi="宋体" w:cs="宋体"/>
          <w:b/>
          <w:bCs/>
          <w:sz w:val="24"/>
          <w:lang w:val="en-US" w:eastAsia="zh-CN"/>
        </w:rPr>
        <w:t>70</w:t>
      </w:r>
      <w:r>
        <w:rPr>
          <w:rFonts w:hint="eastAsia" w:ascii="宋体" w:hAnsi="宋体" w:cs="宋体"/>
          <w:b/>
          <w:bCs/>
          <w:sz w:val="24"/>
        </w:rPr>
        <w:t>分）</w:t>
      </w:r>
    </w:p>
    <w:p w14:paraId="59BE0BC9">
      <w:pPr>
        <w:spacing w:line="480" w:lineRule="exact"/>
        <w:ind w:firstLine="482" w:firstLineChars="200"/>
        <w:rPr>
          <w:rFonts w:hint="eastAsia" w:ascii="宋体" w:hAnsi="宋体" w:cs="宋体"/>
          <w:b/>
          <w:bCs/>
          <w:sz w:val="24"/>
        </w:rPr>
      </w:pPr>
      <w:r>
        <w:rPr>
          <w:rFonts w:hint="eastAsia" w:ascii="宋体" w:hAnsi="宋体" w:cs="宋体"/>
          <w:b/>
          <w:bCs/>
          <w:sz w:val="24"/>
        </w:rPr>
        <w:t>供应商得分为磋商小组成员评分的算术平均分，分值保留小数点后两位。</w:t>
      </w:r>
    </w:p>
    <w:tbl>
      <w:tblPr>
        <w:tblStyle w:val="39"/>
        <w:tblW w:w="86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797"/>
        <w:gridCol w:w="5600"/>
        <w:gridCol w:w="1449"/>
      </w:tblGrid>
      <w:tr w14:paraId="1374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33" w:type="dxa"/>
            <w:vAlign w:val="center"/>
          </w:tcPr>
          <w:p w14:paraId="6686F5B5">
            <w:pPr>
              <w:widowControl/>
              <w:spacing w:line="360" w:lineRule="auto"/>
              <w:jc w:val="center"/>
              <w:rPr>
                <w:rFonts w:cs="仿宋" w:asciiTheme="majorEastAsia" w:hAnsiTheme="majorEastAsia" w:eastAsiaTheme="majorEastAsia"/>
                <w:b/>
                <w:bCs/>
                <w:kern w:val="0"/>
                <w:sz w:val="28"/>
                <w:szCs w:val="28"/>
              </w:rPr>
            </w:pPr>
            <w:r>
              <w:rPr>
                <w:rFonts w:hint="eastAsia" w:cs="仿宋" w:asciiTheme="majorEastAsia" w:hAnsiTheme="majorEastAsia" w:eastAsiaTheme="majorEastAsia"/>
                <w:b/>
                <w:bCs/>
                <w:kern w:val="0"/>
                <w:sz w:val="28"/>
                <w:szCs w:val="28"/>
              </w:rPr>
              <w:t>项目</w:t>
            </w:r>
          </w:p>
        </w:tc>
        <w:tc>
          <w:tcPr>
            <w:tcW w:w="797" w:type="dxa"/>
            <w:vAlign w:val="center"/>
          </w:tcPr>
          <w:p w14:paraId="23FFA65B">
            <w:pPr>
              <w:widowControl/>
              <w:spacing w:line="360" w:lineRule="auto"/>
              <w:jc w:val="center"/>
              <w:rPr>
                <w:rFonts w:cs="仿宋" w:asciiTheme="majorEastAsia" w:hAnsiTheme="majorEastAsia" w:eastAsiaTheme="majorEastAsia"/>
                <w:b/>
                <w:bCs/>
                <w:kern w:val="0"/>
                <w:sz w:val="28"/>
                <w:szCs w:val="28"/>
              </w:rPr>
            </w:pPr>
            <w:r>
              <w:rPr>
                <w:rFonts w:hint="eastAsia" w:cs="仿宋" w:asciiTheme="majorEastAsia" w:hAnsiTheme="majorEastAsia" w:eastAsiaTheme="majorEastAsia"/>
                <w:b/>
                <w:bCs/>
                <w:kern w:val="0"/>
                <w:sz w:val="28"/>
                <w:szCs w:val="28"/>
              </w:rPr>
              <w:t>内容</w:t>
            </w:r>
          </w:p>
        </w:tc>
        <w:tc>
          <w:tcPr>
            <w:tcW w:w="5600" w:type="dxa"/>
            <w:vAlign w:val="center"/>
          </w:tcPr>
          <w:p w14:paraId="5C502073">
            <w:pPr>
              <w:widowControl/>
              <w:spacing w:line="360" w:lineRule="auto"/>
              <w:jc w:val="center"/>
              <w:rPr>
                <w:rFonts w:cs="仿宋" w:asciiTheme="majorEastAsia" w:hAnsiTheme="majorEastAsia" w:eastAsiaTheme="majorEastAsia"/>
                <w:b/>
                <w:bCs/>
                <w:kern w:val="0"/>
                <w:sz w:val="28"/>
                <w:szCs w:val="28"/>
              </w:rPr>
            </w:pPr>
            <w:r>
              <w:rPr>
                <w:rFonts w:hint="eastAsia" w:cs="仿宋" w:asciiTheme="majorEastAsia" w:hAnsiTheme="majorEastAsia" w:eastAsiaTheme="majorEastAsia"/>
                <w:b/>
                <w:bCs/>
                <w:kern w:val="0"/>
                <w:sz w:val="28"/>
                <w:szCs w:val="28"/>
              </w:rPr>
              <w:t>评定细则</w:t>
            </w:r>
          </w:p>
        </w:tc>
        <w:tc>
          <w:tcPr>
            <w:tcW w:w="1449" w:type="dxa"/>
            <w:vAlign w:val="center"/>
          </w:tcPr>
          <w:p w14:paraId="6A24D1DD">
            <w:pPr>
              <w:widowControl/>
              <w:spacing w:line="360" w:lineRule="auto"/>
              <w:jc w:val="center"/>
              <w:rPr>
                <w:rFonts w:cs="仿宋" w:asciiTheme="majorEastAsia" w:hAnsiTheme="majorEastAsia" w:eastAsiaTheme="majorEastAsia"/>
                <w:b/>
                <w:bCs/>
                <w:kern w:val="0"/>
                <w:sz w:val="28"/>
                <w:szCs w:val="28"/>
              </w:rPr>
            </w:pPr>
            <w:r>
              <w:rPr>
                <w:rFonts w:hint="eastAsia" w:cs="仿宋" w:asciiTheme="majorEastAsia" w:hAnsiTheme="majorEastAsia" w:eastAsiaTheme="majorEastAsia"/>
                <w:b/>
                <w:bCs/>
                <w:kern w:val="0"/>
                <w:sz w:val="28"/>
                <w:szCs w:val="28"/>
              </w:rPr>
              <w:t>最高分值</w:t>
            </w:r>
          </w:p>
        </w:tc>
      </w:tr>
      <w:tr w14:paraId="60ACD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833" w:type="dxa"/>
            <w:vMerge w:val="restart"/>
            <w:vAlign w:val="center"/>
          </w:tcPr>
          <w:p w14:paraId="4747BFF7">
            <w:pPr>
              <w:widowControl/>
              <w:spacing w:line="360" w:lineRule="auto"/>
              <w:jc w:val="center"/>
              <w:rPr>
                <w:rFonts w:cs="仿宋" w:asciiTheme="majorEastAsia" w:hAnsiTheme="majorEastAsia" w:eastAsiaTheme="majorEastAsia"/>
                <w:kern w:val="0"/>
                <w:sz w:val="24"/>
              </w:rPr>
            </w:pPr>
            <w:r>
              <w:rPr>
                <w:rFonts w:hint="eastAsia" w:cs="仿宋" w:asciiTheme="majorEastAsia" w:hAnsiTheme="majorEastAsia" w:eastAsiaTheme="majorEastAsia"/>
                <w:kern w:val="0"/>
                <w:sz w:val="24"/>
                <w:szCs w:val="24"/>
              </w:rPr>
              <w:t>商务技术部分（70分）</w:t>
            </w:r>
          </w:p>
        </w:tc>
        <w:tc>
          <w:tcPr>
            <w:tcW w:w="797" w:type="dxa"/>
            <w:vMerge w:val="restart"/>
            <w:vAlign w:val="center"/>
          </w:tcPr>
          <w:p w14:paraId="6E0CC8BF">
            <w:pPr>
              <w:widowControl/>
              <w:spacing w:line="360" w:lineRule="auto"/>
              <w:jc w:val="center"/>
              <w:rPr>
                <w:rFonts w:cs="仿宋" w:asciiTheme="majorEastAsia" w:hAnsiTheme="majorEastAsia" w:eastAsiaTheme="majorEastAsia"/>
                <w:kern w:val="0"/>
                <w:sz w:val="24"/>
              </w:rPr>
            </w:pPr>
            <w:r>
              <w:rPr>
                <w:rFonts w:hint="eastAsia" w:cs="仿宋" w:asciiTheme="majorEastAsia" w:hAnsiTheme="majorEastAsia" w:eastAsiaTheme="majorEastAsia"/>
                <w:kern w:val="0"/>
                <w:sz w:val="24"/>
                <w:szCs w:val="24"/>
              </w:rPr>
              <w:t>维保方案（</w:t>
            </w:r>
            <w:r>
              <w:rPr>
                <w:rFonts w:hint="eastAsia" w:cs="仿宋" w:asciiTheme="majorEastAsia" w:hAnsiTheme="majorEastAsia" w:eastAsiaTheme="majorEastAsia"/>
                <w:kern w:val="0"/>
                <w:sz w:val="24"/>
                <w:szCs w:val="24"/>
                <w:lang w:val="en-US" w:eastAsia="zh-CN"/>
              </w:rPr>
              <w:t>30</w:t>
            </w:r>
            <w:r>
              <w:rPr>
                <w:rFonts w:hint="eastAsia" w:cs="仿宋" w:asciiTheme="majorEastAsia" w:hAnsiTheme="majorEastAsia" w:eastAsiaTheme="majorEastAsia"/>
                <w:kern w:val="0"/>
                <w:sz w:val="24"/>
                <w:szCs w:val="24"/>
              </w:rPr>
              <w:t>分）</w:t>
            </w:r>
          </w:p>
        </w:tc>
        <w:tc>
          <w:tcPr>
            <w:tcW w:w="5600" w:type="dxa"/>
            <w:vAlign w:val="center"/>
          </w:tcPr>
          <w:p w14:paraId="4CCCA754">
            <w:pPr>
              <w:pStyle w:val="101"/>
              <w:snapToGrid w:val="0"/>
              <w:spacing w:line="300" w:lineRule="auto"/>
              <w:ind w:firstLine="0" w:firstLineChars="0"/>
              <w:contextualSpacing/>
              <w:rPr>
                <w:rFonts w:cs="仿宋" w:asciiTheme="majorEastAsia" w:hAnsiTheme="majorEastAsia" w:eastAsiaTheme="majorEastAsia"/>
                <w:kern w:val="0"/>
                <w:sz w:val="24"/>
                <w:szCs w:val="24"/>
              </w:rPr>
            </w:pPr>
            <w:r>
              <w:rPr>
                <w:rFonts w:hint="eastAsia" w:cs="仿宋" w:asciiTheme="majorEastAsia" w:hAnsiTheme="majorEastAsia" w:eastAsiaTheme="majorEastAsia"/>
                <w:kern w:val="0"/>
                <w:sz w:val="24"/>
                <w:szCs w:val="24"/>
              </w:rPr>
              <w:t>评委根据投标供应商的整体策划和实施方案从以下几个方面进行横向比较：</w:t>
            </w:r>
          </w:p>
          <w:p w14:paraId="0C2C8F3F">
            <w:pPr>
              <w:widowControl/>
              <w:spacing w:line="360" w:lineRule="auto"/>
              <w:jc w:val="left"/>
              <w:rPr>
                <w:rFonts w:cs="仿宋" w:asciiTheme="majorEastAsia" w:hAnsiTheme="majorEastAsia" w:eastAsiaTheme="majorEastAsia"/>
                <w:kern w:val="0"/>
                <w:sz w:val="24"/>
              </w:rPr>
            </w:pPr>
            <w:r>
              <w:rPr>
                <w:rFonts w:hint="eastAsia" w:cs="仿宋" w:asciiTheme="majorEastAsia" w:hAnsiTheme="majorEastAsia" w:eastAsiaTheme="majorEastAsia"/>
                <w:kern w:val="0"/>
                <w:sz w:val="24"/>
                <w:szCs w:val="24"/>
              </w:rPr>
              <w:t>1.针对确保消防设施维修保养技术服务质量的管理体系，由评标委员会进行横向比较后在0-</w:t>
            </w:r>
            <w:r>
              <w:rPr>
                <w:rFonts w:hint="eastAsia" w:cs="仿宋" w:asciiTheme="majorEastAsia" w:hAnsiTheme="majorEastAsia" w:eastAsiaTheme="majorEastAsia"/>
                <w:kern w:val="0"/>
                <w:sz w:val="24"/>
                <w:szCs w:val="24"/>
                <w:lang w:eastAsia="zh-CN"/>
              </w:rPr>
              <w:t>5</w:t>
            </w:r>
            <w:r>
              <w:rPr>
                <w:rFonts w:hint="eastAsia" w:cs="仿宋" w:asciiTheme="majorEastAsia" w:hAnsiTheme="majorEastAsia" w:eastAsiaTheme="majorEastAsia"/>
                <w:kern w:val="0"/>
                <w:sz w:val="24"/>
                <w:szCs w:val="24"/>
              </w:rPr>
              <w:t>分之间打分。</w:t>
            </w:r>
          </w:p>
          <w:p w14:paraId="0B28A915">
            <w:pPr>
              <w:widowControl/>
              <w:spacing w:line="360" w:lineRule="auto"/>
              <w:jc w:val="left"/>
              <w:rPr>
                <w:rFonts w:cs="仿宋" w:asciiTheme="majorEastAsia" w:hAnsiTheme="majorEastAsia" w:eastAsiaTheme="majorEastAsia"/>
                <w:kern w:val="0"/>
                <w:sz w:val="24"/>
              </w:rPr>
            </w:pPr>
            <w:r>
              <w:rPr>
                <w:rFonts w:hint="eastAsia" w:cs="仿宋" w:asciiTheme="majorEastAsia" w:hAnsiTheme="majorEastAsia" w:eastAsiaTheme="majorEastAsia"/>
                <w:kern w:val="0"/>
                <w:sz w:val="24"/>
                <w:szCs w:val="24"/>
              </w:rPr>
              <w:t>2.针对接管验收工作安排，由评标委员会进行横向比较后在0-</w:t>
            </w:r>
            <w:r>
              <w:rPr>
                <w:rFonts w:hint="eastAsia" w:cs="仿宋" w:asciiTheme="majorEastAsia" w:hAnsiTheme="majorEastAsia" w:eastAsiaTheme="majorEastAsia"/>
                <w:kern w:val="0"/>
                <w:sz w:val="24"/>
                <w:szCs w:val="24"/>
                <w:lang w:eastAsia="zh-CN"/>
              </w:rPr>
              <w:t>5</w:t>
            </w:r>
            <w:r>
              <w:rPr>
                <w:rFonts w:hint="eastAsia" w:cs="仿宋" w:asciiTheme="majorEastAsia" w:hAnsiTheme="majorEastAsia" w:eastAsiaTheme="majorEastAsia"/>
                <w:kern w:val="0"/>
                <w:sz w:val="24"/>
                <w:szCs w:val="24"/>
              </w:rPr>
              <w:t>分之间打分。</w:t>
            </w:r>
          </w:p>
          <w:p w14:paraId="34C0DB9D">
            <w:pPr>
              <w:widowControl/>
              <w:spacing w:line="360" w:lineRule="auto"/>
              <w:jc w:val="left"/>
              <w:rPr>
                <w:rFonts w:cs="仿宋" w:asciiTheme="majorEastAsia" w:hAnsiTheme="majorEastAsia" w:eastAsiaTheme="majorEastAsia"/>
                <w:kern w:val="0"/>
                <w:sz w:val="24"/>
              </w:rPr>
            </w:pPr>
            <w:r>
              <w:rPr>
                <w:rFonts w:hint="eastAsia" w:cs="仿宋" w:asciiTheme="majorEastAsia" w:hAnsiTheme="majorEastAsia" w:eastAsiaTheme="majorEastAsia"/>
                <w:kern w:val="0"/>
                <w:sz w:val="24"/>
                <w:szCs w:val="24"/>
              </w:rPr>
              <w:t>3.针对服务标准与承诺，由评标委员会进行横向比较后在0-</w:t>
            </w:r>
            <w:r>
              <w:rPr>
                <w:rFonts w:hint="eastAsia" w:cs="仿宋" w:asciiTheme="majorEastAsia" w:hAnsiTheme="majorEastAsia" w:eastAsiaTheme="majorEastAsia"/>
                <w:kern w:val="0"/>
                <w:sz w:val="24"/>
                <w:szCs w:val="24"/>
                <w:lang w:eastAsia="zh-CN"/>
              </w:rPr>
              <w:t>5</w:t>
            </w:r>
            <w:r>
              <w:rPr>
                <w:rFonts w:hint="eastAsia" w:cs="仿宋" w:asciiTheme="majorEastAsia" w:hAnsiTheme="majorEastAsia" w:eastAsiaTheme="majorEastAsia"/>
                <w:kern w:val="0"/>
                <w:sz w:val="24"/>
                <w:szCs w:val="24"/>
              </w:rPr>
              <w:t>分之间打分。</w:t>
            </w:r>
          </w:p>
          <w:p w14:paraId="6E345E14">
            <w:pPr>
              <w:widowControl/>
              <w:spacing w:line="360" w:lineRule="auto"/>
              <w:jc w:val="left"/>
              <w:rPr>
                <w:rFonts w:cs="仿宋" w:asciiTheme="majorEastAsia" w:hAnsiTheme="majorEastAsia" w:eastAsiaTheme="majorEastAsia"/>
              </w:rPr>
            </w:pPr>
            <w:r>
              <w:rPr>
                <w:rFonts w:hint="eastAsia" w:cs="仿宋" w:asciiTheme="majorEastAsia" w:hAnsiTheme="majorEastAsia" w:eastAsiaTheme="majorEastAsia"/>
                <w:kern w:val="0"/>
                <w:sz w:val="24"/>
                <w:szCs w:val="24"/>
              </w:rPr>
              <w:t>4.针对内部管理制度，由评标委员会进行横向比较后在0-</w:t>
            </w:r>
            <w:r>
              <w:rPr>
                <w:rFonts w:hint="eastAsia" w:cs="仿宋" w:asciiTheme="majorEastAsia" w:hAnsiTheme="majorEastAsia" w:eastAsiaTheme="majorEastAsia"/>
                <w:kern w:val="0"/>
                <w:sz w:val="24"/>
                <w:szCs w:val="24"/>
                <w:lang w:eastAsia="zh-CN"/>
              </w:rPr>
              <w:t>5</w:t>
            </w:r>
            <w:r>
              <w:rPr>
                <w:rFonts w:hint="eastAsia" w:cs="仿宋" w:asciiTheme="majorEastAsia" w:hAnsiTheme="majorEastAsia" w:eastAsiaTheme="majorEastAsia"/>
                <w:kern w:val="0"/>
                <w:sz w:val="24"/>
                <w:szCs w:val="24"/>
              </w:rPr>
              <w:t>分之间打分。</w:t>
            </w:r>
          </w:p>
          <w:p w14:paraId="2D63AB05">
            <w:pPr>
              <w:widowControl/>
              <w:spacing w:line="360" w:lineRule="auto"/>
              <w:jc w:val="left"/>
              <w:rPr>
                <w:rFonts w:asciiTheme="majorEastAsia" w:hAnsiTheme="majorEastAsia" w:eastAsiaTheme="majorEastAsia"/>
              </w:rPr>
            </w:pPr>
            <w:r>
              <w:rPr>
                <w:rFonts w:hint="eastAsia" w:cs="仿宋" w:asciiTheme="majorEastAsia" w:hAnsiTheme="majorEastAsia" w:eastAsiaTheme="majorEastAsia"/>
                <w:kern w:val="0"/>
                <w:sz w:val="24"/>
                <w:szCs w:val="24"/>
              </w:rPr>
              <w:t>5.针对本项目维保服务的基础设备及检测设备一览表以及维保项目组人员一览表，由评标委员会进行横向比较后在0-</w:t>
            </w:r>
            <w:r>
              <w:rPr>
                <w:rFonts w:hint="eastAsia" w:cs="仿宋" w:asciiTheme="majorEastAsia" w:hAnsiTheme="majorEastAsia" w:eastAsiaTheme="majorEastAsia"/>
                <w:kern w:val="0"/>
                <w:sz w:val="24"/>
                <w:szCs w:val="24"/>
                <w:lang w:eastAsia="zh-CN"/>
              </w:rPr>
              <w:t>5</w:t>
            </w:r>
            <w:r>
              <w:rPr>
                <w:rFonts w:hint="eastAsia" w:cs="仿宋" w:asciiTheme="majorEastAsia" w:hAnsiTheme="majorEastAsia" w:eastAsiaTheme="majorEastAsia"/>
                <w:kern w:val="0"/>
                <w:sz w:val="24"/>
                <w:szCs w:val="24"/>
              </w:rPr>
              <w:t>分之间打分。</w:t>
            </w:r>
          </w:p>
        </w:tc>
        <w:tc>
          <w:tcPr>
            <w:tcW w:w="1449" w:type="dxa"/>
            <w:vAlign w:val="center"/>
          </w:tcPr>
          <w:p w14:paraId="43BEFF15">
            <w:pPr>
              <w:widowControl/>
              <w:spacing w:line="360" w:lineRule="auto"/>
              <w:jc w:val="center"/>
              <w:rPr>
                <w:rFonts w:cs="仿宋" w:asciiTheme="majorEastAsia" w:hAnsiTheme="majorEastAsia" w:eastAsiaTheme="majorEastAsia"/>
                <w:kern w:val="0"/>
                <w:sz w:val="24"/>
              </w:rPr>
            </w:pPr>
            <w:r>
              <w:rPr>
                <w:rFonts w:hint="eastAsia" w:cs="仿宋" w:asciiTheme="majorEastAsia" w:hAnsiTheme="majorEastAsia" w:eastAsiaTheme="majorEastAsia"/>
                <w:kern w:val="0"/>
                <w:sz w:val="24"/>
                <w:lang w:eastAsia="zh-CN"/>
              </w:rPr>
              <w:t>25</w:t>
            </w:r>
          </w:p>
        </w:tc>
      </w:tr>
      <w:tr w14:paraId="27B38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833" w:type="dxa"/>
            <w:vMerge w:val="continue"/>
            <w:vAlign w:val="center"/>
          </w:tcPr>
          <w:p w14:paraId="61845286">
            <w:pPr>
              <w:widowControl/>
              <w:spacing w:line="360" w:lineRule="auto"/>
              <w:jc w:val="left"/>
              <w:rPr>
                <w:rFonts w:cs="仿宋" w:asciiTheme="majorEastAsia" w:hAnsiTheme="majorEastAsia" w:eastAsiaTheme="majorEastAsia"/>
                <w:kern w:val="0"/>
                <w:sz w:val="24"/>
              </w:rPr>
            </w:pPr>
          </w:p>
        </w:tc>
        <w:tc>
          <w:tcPr>
            <w:tcW w:w="797" w:type="dxa"/>
            <w:vMerge w:val="continue"/>
            <w:vAlign w:val="center"/>
          </w:tcPr>
          <w:p w14:paraId="1A3E0010">
            <w:pPr>
              <w:widowControl/>
              <w:spacing w:line="360" w:lineRule="auto"/>
              <w:jc w:val="left"/>
              <w:rPr>
                <w:rFonts w:cs="仿宋" w:asciiTheme="majorEastAsia" w:hAnsiTheme="majorEastAsia" w:eastAsiaTheme="majorEastAsia"/>
                <w:kern w:val="0"/>
                <w:sz w:val="24"/>
              </w:rPr>
            </w:pPr>
          </w:p>
        </w:tc>
        <w:tc>
          <w:tcPr>
            <w:tcW w:w="5600" w:type="dxa"/>
            <w:vAlign w:val="center"/>
          </w:tcPr>
          <w:p w14:paraId="1C244916">
            <w:pPr>
              <w:widowControl/>
              <w:spacing w:line="360" w:lineRule="auto"/>
              <w:jc w:val="left"/>
              <w:rPr>
                <w:rFonts w:asciiTheme="majorEastAsia" w:hAnsiTheme="majorEastAsia" w:eastAsiaTheme="majorEastAsia"/>
              </w:rPr>
            </w:pPr>
            <w:r>
              <w:rPr>
                <w:rFonts w:hint="eastAsia" w:cs="仿宋" w:asciiTheme="majorEastAsia" w:hAnsiTheme="majorEastAsia" w:eastAsiaTheme="majorEastAsia"/>
                <w:kern w:val="0"/>
                <w:sz w:val="24"/>
                <w:szCs w:val="24"/>
              </w:rPr>
              <w:t>针对本项目管理的难点及创新服务以及本项目应急预案，由评标委员会进行横向比较后在0-</w:t>
            </w:r>
            <w:r>
              <w:rPr>
                <w:rFonts w:hint="eastAsia" w:cs="仿宋" w:asciiTheme="majorEastAsia" w:hAnsiTheme="majorEastAsia" w:eastAsiaTheme="majorEastAsia"/>
                <w:kern w:val="0"/>
                <w:sz w:val="24"/>
                <w:szCs w:val="24"/>
                <w:lang w:val="en-US" w:eastAsia="zh-CN"/>
              </w:rPr>
              <w:t>5</w:t>
            </w:r>
            <w:r>
              <w:rPr>
                <w:rFonts w:hint="eastAsia" w:cs="仿宋" w:asciiTheme="majorEastAsia" w:hAnsiTheme="majorEastAsia" w:eastAsiaTheme="majorEastAsia"/>
                <w:kern w:val="0"/>
                <w:sz w:val="24"/>
                <w:szCs w:val="24"/>
              </w:rPr>
              <w:t>分之间打分。</w:t>
            </w:r>
          </w:p>
        </w:tc>
        <w:tc>
          <w:tcPr>
            <w:tcW w:w="1449" w:type="dxa"/>
            <w:vAlign w:val="center"/>
          </w:tcPr>
          <w:p w14:paraId="62B66D43">
            <w:pPr>
              <w:widowControl/>
              <w:spacing w:line="360" w:lineRule="auto"/>
              <w:jc w:val="center"/>
              <w:rPr>
                <w:rFonts w:hint="eastAsia" w:cs="仿宋" w:asciiTheme="majorEastAsia" w:hAnsiTheme="majorEastAsia" w:eastAsiaTheme="majorEastAsia"/>
                <w:kern w:val="0"/>
                <w:sz w:val="24"/>
                <w:lang w:eastAsia="zh-CN"/>
              </w:rPr>
            </w:pPr>
            <w:r>
              <w:rPr>
                <w:rFonts w:hint="eastAsia" w:cs="仿宋" w:asciiTheme="majorEastAsia" w:hAnsiTheme="majorEastAsia" w:eastAsiaTheme="majorEastAsia"/>
                <w:kern w:val="0"/>
                <w:sz w:val="24"/>
                <w:szCs w:val="24"/>
                <w:lang w:val="en-US" w:eastAsia="zh-CN"/>
              </w:rPr>
              <w:t>5</w:t>
            </w:r>
          </w:p>
        </w:tc>
      </w:tr>
      <w:tr w14:paraId="0D2D3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33" w:type="dxa"/>
            <w:vMerge w:val="continue"/>
            <w:vAlign w:val="center"/>
          </w:tcPr>
          <w:p w14:paraId="220738D8">
            <w:pPr>
              <w:widowControl/>
              <w:spacing w:line="360" w:lineRule="auto"/>
              <w:jc w:val="left"/>
              <w:rPr>
                <w:rFonts w:cs="仿宋" w:asciiTheme="majorEastAsia" w:hAnsiTheme="majorEastAsia" w:eastAsiaTheme="majorEastAsia"/>
                <w:kern w:val="0"/>
                <w:sz w:val="24"/>
              </w:rPr>
            </w:pPr>
          </w:p>
        </w:tc>
        <w:tc>
          <w:tcPr>
            <w:tcW w:w="797" w:type="dxa"/>
            <w:vAlign w:val="center"/>
          </w:tcPr>
          <w:p w14:paraId="7406486E">
            <w:pPr>
              <w:widowControl/>
              <w:spacing w:line="360" w:lineRule="auto"/>
              <w:jc w:val="left"/>
              <w:rPr>
                <w:rFonts w:cs="仿宋" w:asciiTheme="majorEastAsia" w:hAnsiTheme="majorEastAsia" w:eastAsiaTheme="majorEastAsia"/>
                <w:kern w:val="0"/>
                <w:sz w:val="24"/>
              </w:rPr>
            </w:pPr>
            <w:r>
              <w:rPr>
                <w:rFonts w:hint="eastAsia" w:cs="仿宋" w:asciiTheme="majorEastAsia" w:hAnsiTheme="majorEastAsia" w:eastAsiaTheme="majorEastAsia"/>
                <w:kern w:val="0"/>
                <w:sz w:val="24"/>
                <w:szCs w:val="24"/>
              </w:rPr>
              <w:t>企业业绩（</w:t>
            </w:r>
            <w:r>
              <w:rPr>
                <w:rFonts w:hint="eastAsia" w:cs="仿宋" w:asciiTheme="majorEastAsia" w:hAnsiTheme="majorEastAsia" w:eastAsiaTheme="majorEastAsia"/>
                <w:kern w:val="0"/>
                <w:sz w:val="24"/>
                <w:szCs w:val="24"/>
                <w:lang w:val="en-US" w:eastAsia="zh-CN"/>
              </w:rPr>
              <w:t>1</w:t>
            </w:r>
            <w:r>
              <w:rPr>
                <w:rFonts w:hint="eastAsia" w:cs="仿宋" w:asciiTheme="majorEastAsia" w:hAnsiTheme="majorEastAsia" w:eastAsiaTheme="majorEastAsia"/>
                <w:kern w:val="0"/>
                <w:sz w:val="24"/>
                <w:szCs w:val="24"/>
              </w:rPr>
              <w:t>4分）</w:t>
            </w:r>
          </w:p>
        </w:tc>
        <w:tc>
          <w:tcPr>
            <w:tcW w:w="5600" w:type="dxa"/>
            <w:vAlign w:val="center"/>
          </w:tcPr>
          <w:p w14:paraId="3A59180D">
            <w:pPr>
              <w:widowControl/>
              <w:spacing w:line="360" w:lineRule="auto"/>
              <w:jc w:val="left"/>
              <w:rPr>
                <w:rFonts w:cs="仿宋" w:asciiTheme="majorEastAsia" w:hAnsiTheme="majorEastAsia" w:eastAsiaTheme="majorEastAsia"/>
                <w:kern w:val="0"/>
                <w:sz w:val="24"/>
                <w:szCs w:val="24"/>
              </w:rPr>
            </w:pPr>
            <w:r>
              <w:rPr>
                <w:rFonts w:hint="eastAsia" w:cs="仿宋" w:asciiTheme="majorEastAsia" w:hAnsiTheme="majorEastAsia" w:eastAsiaTheme="majorEastAsia"/>
                <w:kern w:val="0"/>
                <w:sz w:val="24"/>
                <w:szCs w:val="24"/>
              </w:rPr>
              <w:t>投标供应商提供自202</w:t>
            </w:r>
            <w:r>
              <w:rPr>
                <w:rFonts w:hint="eastAsia" w:cs="仿宋" w:asciiTheme="majorEastAsia" w:hAnsiTheme="majorEastAsia" w:eastAsiaTheme="majorEastAsia"/>
                <w:kern w:val="0"/>
                <w:sz w:val="24"/>
                <w:szCs w:val="24"/>
                <w:lang w:eastAsia="zh-CN"/>
              </w:rPr>
              <w:t>0</w:t>
            </w:r>
            <w:r>
              <w:rPr>
                <w:rFonts w:hint="eastAsia" w:cs="仿宋" w:asciiTheme="majorEastAsia" w:hAnsiTheme="majorEastAsia" w:eastAsiaTheme="majorEastAsia"/>
                <w:kern w:val="0"/>
                <w:sz w:val="24"/>
                <w:szCs w:val="24"/>
              </w:rPr>
              <w:t>年1月1日（以合同签订时间为准，下同）以来投标单位承接的合同：</w:t>
            </w:r>
          </w:p>
          <w:p w14:paraId="6DC2F031">
            <w:pPr>
              <w:widowControl/>
              <w:spacing w:line="360" w:lineRule="auto"/>
              <w:jc w:val="left"/>
              <w:rPr>
                <w:rFonts w:cs="仿宋" w:asciiTheme="majorEastAsia" w:hAnsiTheme="majorEastAsia" w:eastAsiaTheme="majorEastAsia"/>
                <w:kern w:val="0"/>
                <w:sz w:val="24"/>
                <w:szCs w:val="24"/>
              </w:rPr>
            </w:pPr>
            <w:r>
              <w:rPr>
                <w:rFonts w:hint="eastAsia" w:cs="仿宋" w:asciiTheme="majorEastAsia" w:hAnsiTheme="majorEastAsia" w:eastAsiaTheme="majorEastAsia"/>
                <w:kern w:val="0"/>
                <w:sz w:val="24"/>
                <w:szCs w:val="24"/>
              </w:rPr>
              <w:t>1、</w:t>
            </w:r>
            <w:r>
              <w:rPr>
                <w:rFonts w:cs="仿宋" w:asciiTheme="majorEastAsia" w:hAnsiTheme="majorEastAsia" w:eastAsiaTheme="majorEastAsia"/>
                <w:kern w:val="0"/>
                <w:sz w:val="24"/>
                <w:szCs w:val="24"/>
              </w:rPr>
              <w:t>提供一个得</w:t>
            </w:r>
            <w:r>
              <w:rPr>
                <w:rFonts w:hint="eastAsia" w:cs="仿宋" w:asciiTheme="majorEastAsia" w:hAnsiTheme="majorEastAsia" w:eastAsiaTheme="majorEastAsia"/>
                <w:kern w:val="0"/>
                <w:sz w:val="24"/>
                <w:szCs w:val="24"/>
                <w:lang w:val="en-US" w:eastAsia="zh-CN"/>
              </w:rPr>
              <w:t>3</w:t>
            </w:r>
            <w:r>
              <w:rPr>
                <w:rFonts w:cs="仿宋" w:asciiTheme="majorEastAsia" w:hAnsiTheme="majorEastAsia" w:eastAsiaTheme="majorEastAsia"/>
                <w:kern w:val="0"/>
                <w:sz w:val="24"/>
                <w:szCs w:val="24"/>
              </w:rPr>
              <w:t>分，最高得</w:t>
            </w:r>
            <w:r>
              <w:rPr>
                <w:rFonts w:hint="eastAsia" w:cs="仿宋" w:asciiTheme="majorEastAsia" w:hAnsiTheme="majorEastAsia" w:eastAsiaTheme="majorEastAsia"/>
                <w:kern w:val="0"/>
                <w:sz w:val="24"/>
                <w:szCs w:val="24"/>
              </w:rPr>
              <w:t>1</w:t>
            </w:r>
            <w:r>
              <w:rPr>
                <w:rFonts w:hint="eastAsia" w:cs="仿宋" w:asciiTheme="majorEastAsia" w:hAnsiTheme="majorEastAsia" w:eastAsiaTheme="majorEastAsia"/>
                <w:kern w:val="0"/>
                <w:sz w:val="24"/>
                <w:szCs w:val="24"/>
                <w:lang w:val="en-US" w:eastAsia="zh-CN"/>
              </w:rPr>
              <w:t>2</w:t>
            </w:r>
            <w:r>
              <w:rPr>
                <w:rFonts w:cs="仿宋" w:asciiTheme="majorEastAsia" w:hAnsiTheme="majorEastAsia" w:eastAsiaTheme="majorEastAsia"/>
                <w:kern w:val="0"/>
                <w:sz w:val="24"/>
                <w:szCs w:val="24"/>
              </w:rPr>
              <w:t>分。</w:t>
            </w:r>
          </w:p>
          <w:p w14:paraId="353F3BA4">
            <w:pPr>
              <w:widowControl/>
              <w:spacing w:line="360" w:lineRule="auto"/>
              <w:jc w:val="left"/>
              <w:rPr>
                <w:rFonts w:cs="仿宋" w:asciiTheme="majorEastAsia" w:hAnsiTheme="majorEastAsia" w:eastAsiaTheme="majorEastAsia"/>
                <w:kern w:val="0"/>
                <w:sz w:val="24"/>
                <w:szCs w:val="24"/>
              </w:rPr>
            </w:pPr>
            <w:r>
              <w:rPr>
                <w:rFonts w:hint="eastAsia" w:cs="仿宋" w:asciiTheme="majorEastAsia" w:hAnsiTheme="majorEastAsia" w:eastAsiaTheme="majorEastAsia"/>
                <w:kern w:val="0"/>
                <w:sz w:val="24"/>
                <w:szCs w:val="24"/>
              </w:rPr>
              <w:t>（需提供维保合同，注：同项目不同年度所签的合同视为一份有效业绩。）</w:t>
            </w:r>
          </w:p>
          <w:p w14:paraId="3B98746A">
            <w:pPr>
              <w:pStyle w:val="3"/>
              <w:numPr>
                <w:ilvl w:val="0"/>
                <w:numId w:val="0"/>
              </w:numPr>
              <w:shd w:val="clear" w:color="auto" w:fill="FFFFFF"/>
              <w:spacing w:before="0" w:after="0" w:line="570" w:lineRule="atLeast"/>
              <w:rPr>
                <w:rFonts w:cs="仿宋" w:asciiTheme="majorEastAsia" w:hAnsiTheme="majorEastAsia" w:eastAsiaTheme="majorEastAsia"/>
                <w:b w:val="0"/>
                <w:bCs w:val="0"/>
                <w:kern w:val="0"/>
                <w:sz w:val="24"/>
                <w:szCs w:val="24"/>
              </w:rPr>
            </w:pPr>
            <w:r>
              <w:rPr>
                <w:rFonts w:cs="仿宋" w:asciiTheme="majorEastAsia" w:hAnsiTheme="majorEastAsia" w:eastAsiaTheme="majorEastAsia"/>
                <w:b w:val="0"/>
                <w:bCs w:val="0"/>
                <w:kern w:val="0"/>
                <w:sz w:val="24"/>
                <w:szCs w:val="24"/>
              </w:rPr>
              <w:t>4</w:t>
            </w:r>
            <w:r>
              <w:rPr>
                <w:rFonts w:hint="eastAsia" w:cs="仿宋" w:asciiTheme="majorEastAsia" w:hAnsiTheme="majorEastAsia" w:eastAsiaTheme="majorEastAsia"/>
                <w:b w:val="0"/>
                <w:bCs w:val="0"/>
                <w:kern w:val="0"/>
                <w:sz w:val="24"/>
                <w:szCs w:val="24"/>
              </w:rPr>
              <w:t>、投标单位承接的合同如是地市级一级消防安全重点单位，每个得1分；如是地市级二级及以下消防安全重点单位，每个得0.5分；本小项最多提供4个合同，最多得</w:t>
            </w:r>
            <w:r>
              <w:rPr>
                <w:rFonts w:hint="eastAsia" w:cs="仿宋" w:asciiTheme="majorEastAsia" w:hAnsiTheme="majorEastAsia" w:eastAsiaTheme="majorEastAsia"/>
                <w:b w:val="0"/>
                <w:bCs w:val="0"/>
                <w:kern w:val="0"/>
                <w:sz w:val="24"/>
                <w:szCs w:val="24"/>
                <w:lang w:val="en-US" w:eastAsia="zh-CN"/>
              </w:rPr>
              <w:t>2</w:t>
            </w:r>
            <w:r>
              <w:rPr>
                <w:rFonts w:hint="eastAsia" w:cs="仿宋" w:asciiTheme="majorEastAsia" w:hAnsiTheme="majorEastAsia" w:eastAsiaTheme="majorEastAsia"/>
                <w:b w:val="0"/>
                <w:bCs w:val="0"/>
                <w:kern w:val="0"/>
                <w:sz w:val="24"/>
                <w:szCs w:val="24"/>
              </w:rPr>
              <w:t>分。</w:t>
            </w:r>
          </w:p>
          <w:p w14:paraId="7197ADD2">
            <w:pPr>
              <w:pStyle w:val="3"/>
              <w:numPr>
                <w:ilvl w:val="0"/>
                <w:numId w:val="0"/>
              </w:numPr>
              <w:shd w:val="clear" w:color="auto" w:fill="FFFFFF"/>
              <w:spacing w:before="0" w:after="0" w:line="570" w:lineRule="atLeast"/>
              <w:rPr>
                <w:rFonts w:cs="仿宋" w:asciiTheme="majorEastAsia" w:hAnsiTheme="majorEastAsia" w:eastAsiaTheme="majorEastAsia"/>
                <w:b w:val="0"/>
                <w:bCs w:val="0"/>
                <w:kern w:val="0"/>
                <w:sz w:val="24"/>
                <w:szCs w:val="24"/>
              </w:rPr>
            </w:pPr>
            <w:r>
              <w:rPr>
                <w:rFonts w:hint="eastAsia" w:cs="仿宋" w:asciiTheme="majorEastAsia" w:hAnsiTheme="majorEastAsia" w:eastAsiaTheme="majorEastAsia"/>
                <w:b w:val="0"/>
                <w:bCs w:val="0"/>
                <w:kern w:val="0"/>
                <w:sz w:val="24"/>
                <w:szCs w:val="24"/>
              </w:rPr>
              <w:t>需提供维保合同及合同期间内所</w:t>
            </w:r>
            <w:r>
              <w:rPr>
                <w:rFonts w:cs="仿宋" w:asciiTheme="majorEastAsia" w:hAnsiTheme="majorEastAsia" w:eastAsiaTheme="majorEastAsia"/>
                <w:b w:val="0"/>
                <w:bCs w:val="0"/>
                <w:kern w:val="0"/>
                <w:sz w:val="24"/>
                <w:szCs w:val="24"/>
              </w:rPr>
              <w:t>服务对象为</w:t>
            </w:r>
            <w:r>
              <w:rPr>
                <w:rFonts w:hint="eastAsia" w:cs="仿宋" w:asciiTheme="majorEastAsia" w:hAnsiTheme="majorEastAsia" w:eastAsiaTheme="majorEastAsia"/>
                <w:b w:val="0"/>
                <w:bCs w:val="0"/>
                <w:kern w:val="0"/>
                <w:sz w:val="24"/>
                <w:szCs w:val="24"/>
              </w:rPr>
              <w:t>消防安全重点单位的证明材料复印件并加盖公章。</w:t>
            </w:r>
          </w:p>
        </w:tc>
        <w:tc>
          <w:tcPr>
            <w:tcW w:w="1449" w:type="dxa"/>
            <w:vAlign w:val="center"/>
          </w:tcPr>
          <w:p w14:paraId="3722F498">
            <w:pPr>
              <w:widowControl/>
              <w:spacing w:line="360" w:lineRule="auto"/>
              <w:jc w:val="center"/>
              <w:rPr>
                <w:rFonts w:cs="仿宋" w:asciiTheme="majorEastAsia" w:hAnsiTheme="majorEastAsia" w:eastAsiaTheme="majorEastAsia"/>
                <w:kern w:val="0"/>
                <w:sz w:val="24"/>
              </w:rPr>
            </w:pPr>
            <w:r>
              <w:rPr>
                <w:rFonts w:hint="eastAsia" w:cs="仿宋" w:asciiTheme="majorEastAsia" w:hAnsiTheme="majorEastAsia" w:eastAsiaTheme="majorEastAsia"/>
                <w:kern w:val="0"/>
                <w:sz w:val="24"/>
                <w:szCs w:val="24"/>
                <w:lang w:eastAsia="zh-CN"/>
              </w:rPr>
              <w:t>1</w:t>
            </w:r>
            <w:r>
              <w:rPr>
                <w:rFonts w:hint="eastAsia" w:cs="仿宋" w:asciiTheme="majorEastAsia" w:hAnsiTheme="majorEastAsia" w:eastAsiaTheme="majorEastAsia"/>
                <w:kern w:val="0"/>
                <w:sz w:val="24"/>
                <w:szCs w:val="24"/>
              </w:rPr>
              <w:t>4</w:t>
            </w:r>
          </w:p>
        </w:tc>
      </w:tr>
      <w:tr w14:paraId="195A3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3" w:hRule="atLeast"/>
          <w:jc w:val="center"/>
        </w:trPr>
        <w:tc>
          <w:tcPr>
            <w:tcW w:w="833" w:type="dxa"/>
            <w:vMerge w:val="continue"/>
            <w:vAlign w:val="center"/>
          </w:tcPr>
          <w:p w14:paraId="2AEEFC0B">
            <w:pPr>
              <w:widowControl/>
              <w:spacing w:line="360" w:lineRule="auto"/>
              <w:jc w:val="left"/>
              <w:rPr>
                <w:rFonts w:cs="仿宋" w:asciiTheme="majorEastAsia" w:hAnsiTheme="majorEastAsia" w:eastAsiaTheme="majorEastAsia"/>
                <w:kern w:val="0"/>
                <w:sz w:val="24"/>
              </w:rPr>
            </w:pPr>
          </w:p>
        </w:tc>
        <w:tc>
          <w:tcPr>
            <w:tcW w:w="797" w:type="dxa"/>
            <w:vAlign w:val="center"/>
          </w:tcPr>
          <w:p w14:paraId="01E2A11B">
            <w:pPr>
              <w:widowControl/>
              <w:spacing w:line="360" w:lineRule="auto"/>
              <w:jc w:val="center"/>
              <w:rPr>
                <w:rFonts w:cs="仿宋" w:asciiTheme="majorEastAsia" w:hAnsiTheme="majorEastAsia" w:eastAsiaTheme="majorEastAsia"/>
                <w:kern w:val="0"/>
                <w:sz w:val="24"/>
              </w:rPr>
            </w:pPr>
          </w:p>
          <w:p w14:paraId="362A1D53">
            <w:pPr>
              <w:widowControl/>
              <w:spacing w:line="360" w:lineRule="auto"/>
              <w:jc w:val="center"/>
              <w:rPr>
                <w:rFonts w:cs="仿宋" w:asciiTheme="majorEastAsia" w:hAnsiTheme="majorEastAsia" w:eastAsiaTheme="majorEastAsia"/>
                <w:kern w:val="0"/>
                <w:sz w:val="24"/>
              </w:rPr>
            </w:pPr>
            <w:r>
              <w:rPr>
                <w:rFonts w:hint="eastAsia" w:cs="仿宋" w:asciiTheme="majorEastAsia" w:hAnsiTheme="majorEastAsia" w:eastAsiaTheme="majorEastAsia"/>
                <w:kern w:val="0"/>
                <w:sz w:val="24"/>
                <w:szCs w:val="24"/>
              </w:rPr>
              <w:t>团队人员（14分）</w:t>
            </w:r>
          </w:p>
        </w:tc>
        <w:tc>
          <w:tcPr>
            <w:tcW w:w="5600" w:type="dxa"/>
            <w:vAlign w:val="center"/>
          </w:tcPr>
          <w:p w14:paraId="5ED4D30F">
            <w:pPr>
              <w:widowControl/>
              <w:spacing w:line="360" w:lineRule="auto"/>
              <w:jc w:val="left"/>
              <w:rPr>
                <w:rFonts w:asciiTheme="majorEastAsia" w:hAnsiTheme="majorEastAsia" w:eastAsiaTheme="majorEastAsia"/>
                <w:kern w:val="0"/>
                <w:sz w:val="24"/>
              </w:rPr>
            </w:pPr>
            <w:r>
              <w:rPr>
                <w:rFonts w:cs="仿宋" w:asciiTheme="majorEastAsia" w:hAnsiTheme="majorEastAsia" w:eastAsiaTheme="majorEastAsia"/>
                <w:kern w:val="0"/>
                <w:sz w:val="24"/>
                <w:szCs w:val="24"/>
              </w:rPr>
              <w:t>1</w:t>
            </w:r>
            <w:r>
              <w:rPr>
                <w:rFonts w:hint="eastAsia" w:cs="仿宋" w:asciiTheme="majorEastAsia" w:hAnsiTheme="majorEastAsia" w:eastAsiaTheme="majorEastAsia"/>
                <w:kern w:val="0"/>
                <w:sz w:val="24"/>
                <w:szCs w:val="24"/>
              </w:rPr>
              <w:t>.</w:t>
            </w:r>
            <w:r>
              <w:rPr>
                <w:rFonts w:hint="eastAsia" w:asciiTheme="majorEastAsia" w:hAnsiTheme="majorEastAsia" w:eastAsiaTheme="majorEastAsia"/>
                <w:kern w:val="0"/>
                <w:sz w:val="24"/>
              </w:rPr>
              <w:t>投标供应商拟派现场从业人员具有</w:t>
            </w:r>
            <w:r>
              <w:rPr>
                <w:rFonts w:hint="eastAsia" w:cs="仿宋" w:asciiTheme="majorEastAsia" w:hAnsiTheme="majorEastAsia" w:eastAsiaTheme="majorEastAsia"/>
                <w:kern w:val="0"/>
                <w:sz w:val="24"/>
                <w:szCs w:val="24"/>
              </w:rPr>
              <w:t>四级</w:t>
            </w:r>
            <w:r>
              <w:rPr>
                <w:rFonts w:hint="eastAsia" w:asciiTheme="majorEastAsia" w:hAnsiTheme="majorEastAsia" w:eastAsiaTheme="majorEastAsia"/>
                <w:kern w:val="0"/>
                <w:sz w:val="24"/>
              </w:rPr>
              <w:t>以上消防设施操作员证书的得2分，此项最多得</w:t>
            </w:r>
            <w:r>
              <w:rPr>
                <w:rFonts w:hint="eastAsia" w:cs="仿宋" w:asciiTheme="majorEastAsia" w:hAnsiTheme="majorEastAsia" w:eastAsiaTheme="majorEastAsia"/>
                <w:kern w:val="0"/>
                <w:sz w:val="24"/>
                <w:szCs w:val="24"/>
                <w:lang w:val="en-US" w:eastAsia="zh-CN"/>
              </w:rPr>
              <w:t>6</w:t>
            </w:r>
            <w:r>
              <w:rPr>
                <w:rFonts w:hint="eastAsia" w:asciiTheme="majorEastAsia" w:hAnsiTheme="majorEastAsia" w:eastAsiaTheme="majorEastAsia"/>
                <w:kern w:val="0"/>
                <w:sz w:val="24"/>
              </w:rPr>
              <w:t>分。</w:t>
            </w:r>
          </w:p>
          <w:p w14:paraId="61395A32">
            <w:pPr>
              <w:tabs>
                <w:tab w:val="left" w:pos="690"/>
                <w:tab w:val="left" w:pos="987"/>
              </w:tabs>
              <w:spacing w:line="420" w:lineRule="exact"/>
              <w:ind w:right="105" w:rightChars="50"/>
              <w:contextualSpacing/>
              <w:jc w:val="left"/>
              <w:rPr>
                <w:rFonts w:cs="仿宋" w:asciiTheme="majorEastAsia" w:hAnsiTheme="majorEastAsia" w:eastAsiaTheme="majorEastAsia"/>
                <w:kern w:val="0"/>
                <w:sz w:val="24"/>
                <w:szCs w:val="24"/>
              </w:rPr>
            </w:pPr>
            <w:r>
              <w:rPr>
                <w:rFonts w:cs="仿宋" w:asciiTheme="majorEastAsia" w:hAnsiTheme="majorEastAsia" w:eastAsiaTheme="majorEastAsia"/>
                <w:kern w:val="0"/>
                <w:sz w:val="24"/>
                <w:szCs w:val="24"/>
              </w:rPr>
              <w:t>2</w:t>
            </w:r>
            <w:r>
              <w:rPr>
                <w:rFonts w:hint="eastAsia" w:cs="仿宋" w:asciiTheme="majorEastAsia" w:hAnsiTheme="majorEastAsia" w:eastAsiaTheme="majorEastAsia"/>
                <w:kern w:val="0"/>
                <w:sz w:val="24"/>
                <w:szCs w:val="24"/>
              </w:rPr>
              <w:t>、人员意外伤害险：投标单位应为</w:t>
            </w:r>
            <w:r>
              <w:rPr>
                <w:rFonts w:hint="eastAsia" w:cs="仿宋" w:asciiTheme="majorEastAsia" w:hAnsiTheme="majorEastAsia" w:eastAsiaTheme="majorEastAsia"/>
                <w:kern w:val="0"/>
                <w:sz w:val="24"/>
                <w:szCs w:val="24"/>
                <w:lang w:val="en-US" w:eastAsia="zh-CN"/>
              </w:rPr>
              <w:t>拟派</w:t>
            </w:r>
            <w:r>
              <w:rPr>
                <w:rFonts w:hint="eastAsia" w:cs="仿宋" w:asciiTheme="majorEastAsia" w:hAnsiTheme="majorEastAsia" w:eastAsiaTheme="majorEastAsia"/>
                <w:kern w:val="0"/>
                <w:sz w:val="24"/>
                <w:szCs w:val="24"/>
              </w:rPr>
              <w:t>人员购买意外伤害险，投标文件中提供保单复印件，</w:t>
            </w:r>
            <w:r>
              <w:rPr>
                <w:rFonts w:cs="仿宋" w:asciiTheme="majorEastAsia" w:hAnsiTheme="majorEastAsia" w:eastAsiaTheme="majorEastAsia"/>
                <w:kern w:val="0"/>
                <w:sz w:val="24"/>
                <w:szCs w:val="24"/>
              </w:rPr>
              <w:t>1人得</w:t>
            </w:r>
            <w:r>
              <w:rPr>
                <w:rFonts w:hint="eastAsia" w:cs="仿宋" w:asciiTheme="majorEastAsia" w:hAnsiTheme="majorEastAsia" w:eastAsiaTheme="majorEastAsia"/>
                <w:kern w:val="0"/>
                <w:sz w:val="24"/>
                <w:szCs w:val="24"/>
                <w:lang w:val="en-US" w:eastAsia="zh-CN"/>
              </w:rPr>
              <w:t>4</w:t>
            </w:r>
            <w:r>
              <w:rPr>
                <w:rFonts w:cs="仿宋" w:asciiTheme="majorEastAsia" w:hAnsiTheme="majorEastAsia" w:eastAsiaTheme="majorEastAsia"/>
                <w:kern w:val="0"/>
                <w:sz w:val="24"/>
                <w:szCs w:val="24"/>
              </w:rPr>
              <w:t>分，最高</w:t>
            </w:r>
            <w:r>
              <w:rPr>
                <w:rFonts w:hint="eastAsia" w:cs="仿宋" w:asciiTheme="majorEastAsia" w:hAnsiTheme="majorEastAsia" w:eastAsiaTheme="majorEastAsia"/>
                <w:kern w:val="0"/>
                <w:sz w:val="24"/>
                <w:szCs w:val="24"/>
                <w:lang w:val="en-US" w:eastAsia="zh-CN"/>
              </w:rPr>
              <w:t>8</w:t>
            </w:r>
            <w:r>
              <w:rPr>
                <w:rFonts w:cs="仿宋" w:asciiTheme="majorEastAsia" w:hAnsiTheme="majorEastAsia" w:eastAsiaTheme="majorEastAsia"/>
                <w:kern w:val="0"/>
                <w:sz w:val="24"/>
                <w:szCs w:val="24"/>
              </w:rPr>
              <w:t>分，保单原件备查，无原件不得分。</w:t>
            </w:r>
          </w:p>
          <w:p w14:paraId="6B4126F8">
            <w:pPr>
              <w:widowControl/>
              <w:spacing w:line="360" w:lineRule="auto"/>
              <w:jc w:val="left"/>
              <w:rPr>
                <w:rFonts w:asciiTheme="majorEastAsia" w:hAnsiTheme="majorEastAsia" w:eastAsiaTheme="majorEastAsia"/>
              </w:rPr>
            </w:pPr>
            <w:r>
              <w:rPr>
                <w:rFonts w:hint="eastAsia" w:cs="仿宋" w:asciiTheme="majorEastAsia" w:hAnsiTheme="majorEastAsia" w:eastAsiaTheme="majorEastAsia"/>
                <w:kern w:val="0"/>
                <w:sz w:val="24"/>
                <w:szCs w:val="24"/>
              </w:rPr>
              <w:t>（</w:t>
            </w:r>
            <w:r>
              <w:rPr>
                <w:rFonts w:hint="eastAsia" w:cs="仿宋" w:asciiTheme="majorEastAsia" w:hAnsiTheme="majorEastAsia" w:eastAsiaTheme="majorEastAsia"/>
                <w:b/>
                <w:bCs/>
                <w:kern w:val="0"/>
                <w:sz w:val="24"/>
                <w:szCs w:val="24"/>
              </w:rPr>
              <w:t>提供拟派人员相关证书复印件加盖企业公章，并提供近半年社保缴纳相关证明材料，未提供不得分。</w:t>
            </w:r>
            <w:r>
              <w:rPr>
                <w:rFonts w:hint="eastAsia" w:cs="仿宋" w:asciiTheme="majorEastAsia" w:hAnsiTheme="majorEastAsia" w:eastAsiaTheme="majorEastAsia"/>
                <w:kern w:val="0"/>
                <w:sz w:val="24"/>
                <w:szCs w:val="24"/>
              </w:rPr>
              <w:t>）</w:t>
            </w:r>
          </w:p>
        </w:tc>
        <w:tc>
          <w:tcPr>
            <w:tcW w:w="1449" w:type="dxa"/>
            <w:vAlign w:val="center"/>
          </w:tcPr>
          <w:p w14:paraId="47E648A8">
            <w:pPr>
              <w:widowControl/>
              <w:spacing w:line="360" w:lineRule="auto"/>
              <w:jc w:val="center"/>
              <w:rPr>
                <w:rFonts w:cs="仿宋" w:asciiTheme="majorEastAsia" w:hAnsiTheme="majorEastAsia" w:eastAsiaTheme="majorEastAsia"/>
                <w:kern w:val="0"/>
                <w:sz w:val="24"/>
              </w:rPr>
            </w:pPr>
            <w:r>
              <w:rPr>
                <w:rFonts w:hint="eastAsia" w:cs="仿宋" w:asciiTheme="majorEastAsia" w:hAnsiTheme="majorEastAsia" w:eastAsiaTheme="majorEastAsia"/>
                <w:kern w:val="0"/>
                <w:sz w:val="24"/>
                <w:szCs w:val="24"/>
              </w:rPr>
              <w:t>1</w:t>
            </w:r>
            <w:r>
              <w:rPr>
                <w:rFonts w:cs="仿宋" w:asciiTheme="majorEastAsia" w:hAnsiTheme="majorEastAsia" w:eastAsiaTheme="majorEastAsia"/>
                <w:kern w:val="0"/>
                <w:sz w:val="24"/>
                <w:szCs w:val="24"/>
              </w:rPr>
              <w:t>4</w:t>
            </w:r>
          </w:p>
        </w:tc>
      </w:tr>
      <w:tr w14:paraId="535B4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jc w:val="center"/>
        </w:trPr>
        <w:tc>
          <w:tcPr>
            <w:tcW w:w="833" w:type="dxa"/>
            <w:vMerge w:val="continue"/>
            <w:vAlign w:val="center"/>
          </w:tcPr>
          <w:p w14:paraId="3012B8B7">
            <w:pPr>
              <w:widowControl/>
              <w:spacing w:line="360" w:lineRule="auto"/>
              <w:jc w:val="left"/>
              <w:rPr>
                <w:rFonts w:cs="仿宋" w:asciiTheme="majorEastAsia" w:hAnsiTheme="majorEastAsia" w:eastAsiaTheme="majorEastAsia"/>
                <w:kern w:val="0"/>
                <w:sz w:val="24"/>
              </w:rPr>
            </w:pPr>
          </w:p>
        </w:tc>
        <w:tc>
          <w:tcPr>
            <w:tcW w:w="797" w:type="dxa"/>
            <w:vAlign w:val="center"/>
          </w:tcPr>
          <w:p w14:paraId="2552E827">
            <w:pPr>
              <w:widowControl/>
              <w:spacing w:line="360" w:lineRule="auto"/>
              <w:jc w:val="center"/>
              <w:rPr>
                <w:rFonts w:cs="仿宋" w:asciiTheme="majorEastAsia" w:hAnsiTheme="majorEastAsia" w:eastAsiaTheme="majorEastAsia"/>
                <w:kern w:val="0"/>
                <w:sz w:val="24"/>
              </w:rPr>
            </w:pPr>
            <w:r>
              <w:rPr>
                <w:rFonts w:hint="eastAsia" w:cs="仿宋" w:asciiTheme="majorEastAsia" w:hAnsiTheme="majorEastAsia" w:eastAsiaTheme="majorEastAsia"/>
                <w:kern w:val="0"/>
                <w:sz w:val="24"/>
                <w:szCs w:val="24"/>
              </w:rPr>
              <w:t>企业资信（1</w:t>
            </w:r>
            <w:r>
              <w:rPr>
                <w:rFonts w:hint="eastAsia" w:cs="仿宋" w:asciiTheme="majorEastAsia" w:hAnsiTheme="majorEastAsia" w:eastAsiaTheme="majorEastAsia"/>
                <w:kern w:val="0"/>
                <w:sz w:val="24"/>
                <w:szCs w:val="24"/>
                <w:lang w:val="en-US" w:eastAsia="zh-CN"/>
              </w:rPr>
              <w:t>2</w:t>
            </w:r>
            <w:r>
              <w:rPr>
                <w:rFonts w:hint="eastAsia" w:cs="仿宋" w:asciiTheme="majorEastAsia" w:hAnsiTheme="majorEastAsia" w:eastAsiaTheme="majorEastAsia"/>
                <w:kern w:val="0"/>
                <w:sz w:val="24"/>
                <w:szCs w:val="24"/>
              </w:rPr>
              <w:t>分）</w:t>
            </w:r>
          </w:p>
        </w:tc>
        <w:tc>
          <w:tcPr>
            <w:tcW w:w="5600" w:type="dxa"/>
            <w:vAlign w:val="center"/>
          </w:tcPr>
          <w:p w14:paraId="2D409C2B">
            <w:pPr>
              <w:widowControl/>
              <w:spacing w:line="360" w:lineRule="auto"/>
              <w:jc w:val="left"/>
              <w:rPr>
                <w:rFonts w:cs="仿宋" w:asciiTheme="majorEastAsia" w:hAnsiTheme="majorEastAsia" w:eastAsiaTheme="majorEastAsia"/>
                <w:kern w:val="0"/>
                <w:sz w:val="24"/>
              </w:rPr>
            </w:pPr>
            <w:r>
              <w:rPr>
                <w:rFonts w:hint="eastAsia" w:cs="仿宋" w:asciiTheme="majorEastAsia" w:hAnsiTheme="majorEastAsia" w:eastAsiaTheme="majorEastAsia"/>
                <w:kern w:val="0"/>
                <w:sz w:val="24"/>
                <w:szCs w:val="24"/>
              </w:rPr>
              <w:t>1.投标供应商具有质量管理体系认证证书且在有效期内的得</w:t>
            </w:r>
            <w:r>
              <w:rPr>
                <w:rFonts w:hint="eastAsia" w:cs="仿宋" w:asciiTheme="majorEastAsia" w:hAnsiTheme="majorEastAsia" w:eastAsiaTheme="majorEastAsia"/>
                <w:kern w:val="0"/>
                <w:sz w:val="24"/>
                <w:szCs w:val="24"/>
                <w:lang w:val="en-US" w:eastAsia="zh-CN"/>
              </w:rPr>
              <w:t>3</w:t>
            </w:r>
            <w:r>
              <w:rPr>
                <w:rFonts w:hint="eastAsia" w:cs="仿宋" w:asciiTheme="majorEastAsia" w:hAnsiTheme="majorEastAsia" w:eastAsiaTheme="majorEastAsia"/>
                <w:kern w:val="0"/>
                <w:sz w:val="24"/>
                <w:szCs w:val="24"/>
              </w:rPr>
              <w:t>分。</w:t>
            </w:r>
          </w:p>
          <w:p w14:paraId="6DCC7F25">
            <w:pPr>
              <w:widowControl/>
              <w:spacing w:line="360" w:lineRule="auto"/>
              <w:jc w:val="left"/>
              <w:rPr>
                <w:rFonts w:cs="仿宋" w:asciiTheme="majorEastAsia" w:hAnsiTheme="majorEastAsia" w:eastAsiaTheme="majorEastAsia"/>
                <w:kern w:val="0"/>
                <w:sz w:val="24"/>
              </w:rPr>
            </w:pPr>
            <w:r>
              <w:rPr>
                <w:rFonts w:hint="eastAsia" w:cs="仿宋" w:asciiTheme="majorEastAsia" w:hAnsiTheme="majorEastAsia" w:eastAsiaTheme="majorEastAsia"/>
                <w:kern w:val="0"/>
                <w:sz w:val="24"/>
                <w:szCs w:val="24"/>
              </w:rPr>
              <w:t>2.投标供应商具有环境管理体系认证证书且在有效期内的得</w:t>
            </w:r>
            <w:r>
              <w:rPr>
                <w:rFonts w:hint="eastAsia" w:cs="仿宋" w:asciiTheme="majorEastAsia" w:hAnsiTheme="majorEastAsia" w:eastAsiaTheme="majorEastAsia"/>
                <w:kern w:val="0"/>
                <w:sz w:val="24"/>
                <w:szCs w:val="24"/>
                <w:lang w:val="en-US" w:eastAsia="zh-CN"/>
              </w:rPr>
              <w:t>4</w:t>
            </w:r>
            <w:r>
              <w:rPr>
                <w:rFonts w:hint="eastAsia" w:cs="仿宋" w:asciiTheme="majorEastAsia" w:hAnsiTheme="majorEastAsia" w:eastAsiaTheme="majorEastAsia"/>
                <w:kern w:val="0"/>
                <w:sz w:val="24"/>
                <w:szCs w:val="24"/>
              </w:rPr>
              <w:t>分。</w:t>
            </w:r>
          </w:p>
          <w:p w14:paraId="5A7B8A4D">
            <w:pPr>
              <w:widowControl/>
              <w:spacing w:line="360" w:lineRule="auto"/>
              <w:jc w:val="left"/>
              <w:rPr>
                <w:rFonts w:cs="仿宋" w:asciiTheme="majorEastAsia" w:hAnsiTheme="majorEastAsia" w:eastAsiaTheme="majorEastAsia"/>
                <w:kern w:val="0"/>
                <w:sz w:val="24"/>
              </w:rPr>
            </w:pPr>
            <w:r>
              <w:rPr>
                <w:rFonts w:hint="eastAsia" w:cs="仿宋" w:asciiTheme="majorEastAsia" w:hAnsiTheme="majorEastAsia" w:eastAsiaTheme="majorEastAsia"/>
                <w:kern w:val="0"/>
                <w:sz w:val="24"/>
                <w:szCs w:val="24"/>
              </w:rPr>
              <w:t>3.投标供应商具有职业健康安全管理体系认证证书且在有效期内的得</w:t>
            </w:r>
            <w:r>
              <w:rPr>
                <w:rFonts w:hint="eastAsia" w:cs="仿宋" w:asciiTheme="majorEastAsia" w:hAnsiTheme="majorEastAsia" w:eastAsiaTheme="majorEastAsia"/>
                <w:kern w:val="0"/>
                <w:sz w:val="24"/>
                <w:szCs w:val="24"/>
                <w:lang w:val="en-US" w:eastAsia="zh-CN"/>
              </w:rPr>
              <w:t>5</w:t>
            </w:r>
            <w:r>
              <w:rPr>
                <w:rFonts w:hint="eastAsia" w:cs="仿宋" w:asciiTheme="majorEastAsia" w:hAnsiTheme="majorEastAsia" w:eastAsiaTheme="majorEastAsia"/>
                <w:kern w:val="0"/>
                <w:sz w:val="24"/>
                <w:szCs w:val="24"/>
              </w:rPr>
              <w:t>分。</w:t>
            </w:r>
          </w:p>
          <w:p w14:paraId="73CDC2C7">
            <w:pPr>
              <w:widowControl/>
              <w:spacing w:line="360" w:lineRule="auto"/>
              <w:jc w:val="left"/>
              <w:rPr>
                <w:rFonts w:asciiTheme="majorEastAsia" w:hAnsiTheme="majorEastAsia" w:eastAsiaTheme="majorEastAsia"/>
              </w:rPr>
            </w:pPr>
            <w:r>
              <w:rPr>
                <w:rFonts w:hint="eastAsia" w:cs="仿宋" w:asciiTheme="majorEastAsia" w:hAnsiTheme="majorEastAsia" w:eastAsiaTheme="majorEastAsia"/>
                <w:kern w:val="0"/>
                <w:sz w:val="24"/>
                <w:szCs w:val="24"/>
              </w:rPr>
              <w:t>（</w:t>
            </w:r>
            <w:r>
              <w:rPr>
                <w:rFonts w:hint="eastAsia" w:cs="仿宋" w:asciiTheme="majorEastAsia" w:hAnsiTheme="majorEastAsia" w:eastAsiaTheme="majorEastAsia"/>
                <w:b/>
                <w:bCs/>
                <w:kern w:val="0"/>
                <w:sz w:val="24"/>
                <w:szCs w:val="24"/>
              </w:rPr>
              <w:t>提供有效证书复印件加盖公章，未提供不得分</w:t>
            </w:r>
            <w:r>
              <w:rPr>
                <w:rFonts w:hint="eastAsia" w:cs="仿宋" w:asciiTheme="majorEastAsia" w:hAnsiTheme="majorEastAsia" w:eastAsiaTheme="majorEastAsia"/>
                <w:kern w:val="0"/>
                <w:sz w:val="24"/>
                <w:szCs w:val="24"/>
              </w:rPr>
              <w:t>）</w:t>
            </w:r>
          </w:p>
        </w:tc>
        <w:tc>
          <w:tcPr>
            <w:tcW w:w="1449" w:type="dxa"/>
            <w:vAlign w:val="center"/>
          </w:tcPr>
          <w:p w14:paraId="0626A19B">
            <w:pPr>
              <w:widowControl/>
              <w:spacing w:line="360" w:lineRule="auto"/>
              <w:jc w:val="center"/>
              <w:rPr>
                <w:rFonts w:hint="eastAsia" w:cs="仿宋" w:asciiTheme="majorEastAsia" w:hAnsiTheme="majorEastAsia" w:eastAsiaTheme="majorEastAsia"/>
                <w:kern w:val="0"/>
                <w:sz w:val="24"/>
                <w:lang w:eastAsia="zh-CN"/>
              </w:rPr>
            </w:pPr>
            <w:r>
              <w:rPr>
                <w:rFonts w:hint="eastAsia" w:cs="仿宋" w:asciiTheme="majorEastAsia" w:hAnsiTheme="majorEastAsia" w:eastAsiaTheme="majorEastAsia"/>
                <w:kern w:val="0"/>
                <w:sz w:val="24"/>
                <w:szCs w:val="24"/>
              </w:rPr>
              <w:t>1</w:t>
            </w:r>
            <w:r>
              <w:rPr>
                <w:rFonts w:hint="eastAsia" w:cs="仿宋" w:asciiTheme="majorEastAsia" w:hAnsiTheme="majorEastAsia" w:eastAsiaTheme="majorEastAsia"/>
                <w:kern w:val="0"/>
                <w:sz w:val="24"/>
                <w:szCs w:val="24"/>
                <w:lang w:val="en-US" w:eastAsia="zh-CN"/>
              </w:rPr>
              <w:t>2</w:t>
            </w:r>
          </w:p>
        </w:tc>
      </w:tr>
    </w:tbl>
    <w:p w14:paraId="02565D7C">
      <w:pPr>
        <w:spacing w:line="480" w:lineRule="exact"/>
        <w:ind w:firstLine="482" w:firstLineChars="200"/>
        <w:rPr>
          <w:rFonts w:hint="eastAsia" w:ascii="宋体" w:hAnsi="宋体" w:cs="宋体"/>
          <w:b/>
          <w:bCs/>
          <w:sz w:val="24"/>
        </w:rPr>
      </w:pPr>
    </w:p>
    <w:p w14:paraId="69404569">
      <w:pPr>
        <w:keepNext/>
        <w:keepLines/>
        <w:pageBreakBefore w:val="0"/>
        <w:kinsoku/>
        <w:wordWrap/>
        <w:topLinePunct w:val="0"/>
        <w:bidi w:val="0"/>
        <w:spacing w:line="480" w:lineRule="exact"/>
        <w:ind w:firstLine="482" w:firstLineChars="200"/>
        <w:outlineLvl w:val="1"/>
        <w:rPr>
          <w:rFonts w:hint="eastAsia" w:ascii="宋体" w:hAnsi="宋体" w:cs="宋体"/>
          <w:b/>
          <w:bCs/>
          <w:sz w:val="24"/>
        </w:rPr>
      </w:pPr>
      <w:r>
        <w:rPr>
          <w:rFonts w:hint="eastAsia" w:ascii="宋体" w:hAnsi="宋体" w:cs="宋体"/>
          <w:b/>
          <w:bCs/>
          <w:sz w:val="24"/>
        </w:rPr>
        <w:t>②价格评审标准（分值</w:t>
      </w:r>
      <w:r>
        <w:rPr>
          <w:rFonts w:hint="eastAsia" w:ascii="宋体" w:hAnsi="宋体" w:cs="宋体"/>
          <w:b/>
          <w:bCs/>
          <w:sz w:val="24"/>
          <w:lang w:val="en-US" w:eastAsia="zh-CN"/>
        </w:rPr>
        <w:t>30</w:t>
      </w:r>
      <w:r>
        <w:rPr>
          <w:rFonts w:hint="eastAsia" w:ascii="宋体" w:hAnsi="宋体" w:cs="宋体"/>
          <w:b/>
          <w:bCs/>
          <w:sz w:val="24"/>
        </w:rPr>
        <w:t>分）</w:t>
      </w:r>
    </w:p>
    <w:bookmarkEnd w:id="116"/>
    <w:p w14:paraId="380FD344">
      <w:pPr>
        <w:pageBreakBefore w:val="0"/>
        <w:kinsoku/>
        <w:wordWrap/>
        <w:topLinePunct w:val="0"/>
        <w:autoSpaceDE w:val="0"/>
        <w:autoSpaceDN w:val="0"/>
        <w:bidi w:val="0"/>
        <w:adjustRightInd w:val="0"/>
        <w:snapToGrid w:val="0"/>
        <w:spacing w:line="480" w:lineRule="exact"/>
        <w:ind w:firstLine="480" w:firstLineChars="200"/>
        <w:rPr>
          <w:rFonts w:hint="eastAsia" w:ascii="宋体" w:hAnsi="宋体" w:cs="宋体"/>
          <w:color w:val="auto"/>
          <w:sz w:val="24"/>
        </w:rPr>
      </w:pPr>
      <w:r>
        <w:rPr>
          <w:rFonts w:hint="eastAsia" w:ascii="宋体" w:hAnsi="宋体" w:cs="宋体"/>
          <w:color w:val="auto"/>
          <w:sz w:val="24"/>
        </w:rPr>
        <w:t>采用低价优先法计算，即满足磋商文件要求且最后报价最低的供应商的价格为磋商基准价，其价格分为满分。其他供应商的价格分统一按照下列公式计算：</w:t>
      </w:r>
    </w:p>
    <w:p w14:paraId="739C35B1">
      <w:pPr>
        <w:pageBreakBefore w:val="0"/>
        <w:kinsoku/>
        <w:wordWrap/>
        <w:topLinePunct w:val="0"/>
        <w:autoSpaceDE w:val="0"/>
        <w:autoSpaceDN w:val="0"/>
        <w:bidi w:val="0"/>
        <w:adjustRightInd w:val="0"/>
        <w:snapToGrid w:val="0"/>
        <w:spacing w:line="480" w:lineRule="exact"/>
        <w:ind w:firstLine="480" w:firstLineChars="200"/>
        <w:rPr>
          <w:rFonts w:hint="eastAsia" w:ascii="宋体" w:hAnsi="宋体" w:cs="宋体"/>
          <w:color w:val="auto"/>
          <w:sz w:val="24"/>
        </w:rPr>
      </w:pPr>
      <w:r>
        <w:rPr>
          <w:rFonts w:hint="eastAsia" w:ascii="宋体" w:hAnsi="宋体" w:cs="宋体"/>
          <w:color w:val="auto"/>
          <w:sz w:val="24"/>
        </w:rPr>
        <w:t>磋商报价得分=（磋商基准价/最后磋商报价）×价格权值×100</w:t>
      </w:r>
    </w:p>
    <w:p w14:paraId="30E2D4A6">
      <w:pPr>
        <w:pageBreakBefore w:val="0"/>
        <w:kinsoku/>
        <w:wordWrap/>
        <w:topLinePunct w:val="0"/>
        <w:autoSpaceDE w:val="0"/>
        <w:autoSpaceDN w:val="0"/>
        <w:bidi w:val="0"/>
        <w:adjustRightInd w:val="0"/>
        <w:snapToGrid w:val="0"/>
        <w:spacing w:line="480" w:lineRule="exact"/>
        <w:ind w:firstLine="480" w:firstLineChars="200"/>
        <w:rPr>
          <w:rFonts w:hint="eastAsia" w:ascii="宋体" w:hAnsi="宋体" w:cs="宋体"/>
          <w:color w:val="auto"/>
          <w:sz w:val="24"/>
        </w:rPr>
      </w:pPr>
      <w:r>
        <w:rPr>
          <w:rFonts w:hint="eastAsia" w:ascii="宋体" w:hAnsi="宋体" w:cs="宋体"/>
          <w:color w:val="auto"/>
          <w:sz w:val="24"/>
        </w:rPr>
        <w:t>项目评审过程中，不得去掉最后报价中的最高报价和最低报价。</w:t>
      </w:r>
    </w:p>
    <w:p w14:paraId="0255BB93">
      <w:pPr>
        <w:keepNext/>
        <w:keepLines/>
        <w:pageBreakBefore w:val="0"/>
        <w:kinsoku/>
        <w:wordWrap/>
        <w:overflowPunct w:val="0"/>
        <w:topLinePunct w:val="0"/>
        <w:bidi w:val="0"/>
        <w:adjustRightInd w:val="0"/>
        <w:spacing w:line="480" w:lineRule="exact"/>
        <w:jc w:val="left"/>
        <w:textAlignment w:val="baseline"/>
        <w:outlineLvl w:val="1"/>
        <w:rPr>
          <w:rFonts w:hint="eastAsia" w:ascii="宋体" w:hAnsi="宋体" w:cs="宋体"/>
          <w:b/>
          <w:bCs/>
          <w:color w:val="000000"/>
          <w:sz w:val="24"/>
          <w:szCs w:val="20"/>
        </w:rPr>
      </w:pPr>
      <w:r>
        <w:rPr>
          <w:rFonts w:hint="eastAsia" w:ascii="宋体" w:hAnsi="宋体" w:cs="宋体"/>
          <w:b/>
          <w:bCs/>
          <w:sz w:val="24"/>
          <w:lang w:eastAsia="zh-CN"/>
        </w:rPr>
        <w:t>5.</w:t>
      </w:r>
      <w:r>
        <w:rPr>
          <w:rFonts w:hint="eastAsia" w:ascii="宋体" w:hAnsi="宋体" w:cs="宋体"/>
          <w:b/>
          <w:bCs/>
          <w:sz w:val="24"/>
        </w:rPr>
        <w:t>成交</w:t>
      </w:r>
      <w:r>
        <w:rPr>
          <w:rFonts w:hint="eastAsia" w:ascii="宋体" w:hAnsi="宋体" w:cs="宋体"/>
          <w:b/>
          <w:bCs/>
          <w:color w:val="000000"/>
          <w:sz w:val="24"/>
          <w:szCs w:val="20"/>
        </w:rPr>
        <w:t>供应商的确定</w:t>
      </w:r>
    </w:p>
    <w:p w14:paraId="2E2D918E">
      <w:pPr>
        <w:pageBreakBefore w:val="0"/>
        <w:widowControl/>
        <w:tabs>
          <w:tab w:val="left" w:pos="0"/>
          <w:tab w:val="left" w:pos="993"/>
          <w:tab w:val="left" w:pos="1134"/>
        </w:tabs>
        <w:kinsoku/>
        <w:wordWrap/>
        <w:topLinePunct w:val="0"/>
        <w:bidi w:val="0"/>
        <w:adjustRightInd w:val="0"/>
        <w:snapToGrid w:val="0"/>
        <w:spacing w:line="480" w:lineRule="exact"/>
        <w:ind w:firstLine="480" w:firstLineChars="200"/>
        <w:rPr>
          <w:rFonts w:hint="eastAsia" w:ascii="宋体" w:hAnsi="宋体" w:cs="宋体"/>
          <w:bCs/>
          <w:sz w:val="24"/>
        </w:rPr>
      </w:pPr>
      <w:r>
        <w:rPr>
          <w:rFonts w:hint="eastAsia" w:ascii="宋体" w:hAnsi="宋体" w:cs="宋体"/>
          <w:bCs/>
          <w:sz w:val="24"/>
        </w:rPr>
        <w:t>5.1磋商小组按综合得分（总得分）从高到低排序，推荐1-3名成交供应商，综合得分第一名的为本项目第一成交供应商。</w:t>
      </w:r>
    </w:p>
    <w:p w14:paraId="34D685C3">
      <w:pPr>
        <w:pageBreakBefore w:val="0"/>
        <w:widowControl/>
        <w:tabs>
          <w:tab w:val="left" w:pos="0"/>
          <w:tab w:val="left" w:pos="993"/>
          <w:tab w:val="left" w:pos="1134"/>
        </w:tabs>
        <w:kinsoku/>
        <w:wordWrap/>
        <w:topLinePunct w:val="0"/>
        <w:bidi w:val="0"/>
        <w:adjustRightInd w:val="0"/>
        <w:snapToGrid w:val="0"/>
        <w:spacing w:line="480" w:lineRule="exact"/>
        <w:ind w:firstLine="480" w:firstLineChars="200"/>
        <w:rPr>
          <w:rFonts w:hint="eastAsia" w:ascii="宋体" w:hAnsi="宋体" w:cs="宋体"/>
          <w:bCs/>
          <w:sz w:val="24"/>
        </w:rPr>
      </w:pPr>
      <w:r>
        <w:rPr>
          <w:rFonts w:hint="eastAsia" w:ascii="宋体" w:hAnsi="宋体" w:cs="宋体"/>
          <w:bCs/>
          <w:sz w:val="24"/>
        </w:rPr>
        <w:t>5.2定标原则</w:t>
      </w:r>
    </w:p>
    <w:p w14:paraId="5F36EEBA">
      <w:pPr>
        <w:widowControl/>
        <w:tabs>
          <w:tab w:val="left" w:pos="0"/>
          <w:tab w:val="left" w:pos="993"/>
          <w:tab w:val="left" w:pos="1134"/>
        </w:tabs>
        <w:adjustRightInd w:val="0"/>
        <w:snapToGrid w:val="0"/>
        <w:spacing w:line="360" w:lineRule="auto"/>
        <w:ind w:firstLine="480" w:firstLineChars="200"/>
        <w:rPr>
          <w:rFonts w:hint="eastAsia" w:ascii="宋体" w:hAnsi="宋体" w:cs="宋体"/>
          <w:bCs/>
          <w:sz w:val="24"/>
        </w:rPr>
      </w:pPr>
      <w:r>
        <w:rPr>
          <w:rFonts w:hint="eastAsia" w:ascii="宋体" w:hAnsi="宋体" w:cs="宋体"/>
          <w:bCs/>
          <w:sz w:val="24"/>
        </w:rPr>
        <w:t>（1）磋商小组将向采购人推荐评标最后综合得分最高的前三名供应商为成交供应商，并标明排列顺序；</w:t>
      </w:r>
    </w:p>
    <w:p w14:paraId="3C5A5C78">
      <w:pPr>
        <w:widowControl/>
        <w:tabs>
          <w:tab w:val="left" w:pos="0"/>
          <w:tab w:val="left" w:pos="993"/>
          <w:tab w:val="left" w:pos="1134"/>
        </w:tabs>
        <w:adjustRightInd w:val="0"/>
        <w:snapToGrid w:val="0"/>
        <w:spacing w:line="360" w:lineRule="auto"/>
        <w:ind w:firstLine="480" w:firstLineChars="200"/>
        <w:rPr>
          <w:rFonts w:hint="eastAsia" w:ascii="宋体" w:hAnsi="宋体" w:cs="宋体"/>
          <w:bCs/>
          <w:sz w:val="24"/>
        </w:rPr>
      </w:pPr>
      <w:r>
        <w:rPr>
          <w:rFonts w:hint="eastAsia" w:ascii="宋体" w:hAnsi="宋体" w:cs="宋体"/>
          <w:bCs/>
          <w:sz w:val="24"/>
        </w:rPr>
        <w:t>（2）由</w:t>
      </w:r>
      <w:r>
        <w:rPr>
          <w:rFonts w:hint="eastAsia" w:ascii="宋体" w:hAnsi="宋体" w:cs="宋体"/>
          <w:bCs/>
          <w:sz w:val="24"/>
          <w:lang w:val="en-US" w:eastAsia="zh-CN"/>
        </w:rPr>
        <w:t>采购人</w:t>
      </w:r>
      <w:r>
        <w:rPr>
          <w:rFonts w:hint="eastAsia" w:ascii="宋体" w:hAnsi="宋体" w:cs="宋体"/>
          <w:bCs/>
          <w:sz w:val="24"/>
        </w:rPr>
        <w:t xml:space="preserve">根据成交供应商排序确定第一成交供应商为成交人。 </w:t>
      </w:r>
    </w:p>
    <w:p w14:paraId="542614F3">
      <w:pPr>
        <w:widowControl/>
        <w:tabs>
          <w:tab w:val="left" w:pos="0"/>
          <w:tab w:val="left" w:pos="993"/>
          <w:tab w:val="left" w:pos="1134"/>
        </w:tabs>
        <w:adjustRightInd w:val="0"/>
        <w:snapToGrid w:val="0"/>
        <w:spacing w:line="360" w:lineRule="auto"/>
        <w:ind w:firstLine="480" w:firstLineChars="200"/>
        <w:rPr>
          <w:rFonts w:hint="eastAsia" w:ascii="宋体" w:hAnsi="宋体" w:cs="宋体"/>
          <w:bCs/>
          <w:sz w:val="24"/>
        </w:rPr>
      </w:pPr>
      <w:r>
        <w:rPr>
          <w:rFonts w:hint="eastAsia" w:ascii="宋体" w:hAnsi="宋体" w:cs="宋体"/>
          <w:bCs/>
          <w:sz w:val="24"/>
        </w:rPr>
        <w:t>（3）成交供应商放弃成交，因不可抗力提出不能履行合同，或者采购文件规定应当提交履约保证金而在规定期限内未能提交的，采购人将按规定取消成交供应商成交资格。</w:t>
      </w:r>
    </w:p>
    <w:p w14:paraId="12377FAE">
      <w:pPr>
        <w:widowControl/>
        <w:tabs>
          <w:tab w:val="left" w:pos="0"/>
          <w:tab w:val="left" w:pos="993"/>
          <w:tab w:val="left" w:pos="1134"/>
        </w:tabs>
        <w:adjustRightInd w:val="0"/>
        <w:snapToGrid w:val="0"/>
        <w:spacing w:line="360" w:lineRule="auto"/>
        <w:ind w:firstLine="480" w:firstLineChars="200"/>
        <w:rPr>
          <w:rFonts w:hint="eastAsia" w:ascii="宋体" w:hAnsi="宋体" w:cs="宋体"/>
          <w:bCs/>
          <w:sz w:val="24"/>
        </w:rPr>
      </w:pPr>
      <w:r>
        <w:rPr>
          <w:rFonts w:hint="eastAsia" w:ascii="宋体" w:hAnsi="宋体" w:cs="宋体"/>
          <w:bCs/>
          <w:sz w:val="24"/>
        </w:rPr>
        <w:t>5.3成交供应商在取得《成交通知书》后，在成交通知书规定的时间内，凭成交通知书由法定代表人或授权代理人前往采购人签订合同。</w:t>
      </w:r>
    </w:p>
    <w:p w14:paraId="381ADDC7">
      <w:pPr>
        <w:pStyle w:val="105"/>
        <w:snapToGrid w:val="0"/>
        <w:spacing w:before="0" w:after="0"/>
        <w:ind w:firstLine="482" w:firstLineChars="200"/>
        <w:jc w:val="both"/>
        <w:rPr>
          <w:rFonts w:hint="eastAsia" w:ascii="宋体" w:hAnsi="宋体" w:cs="宋体"/>
          <w:b/>
          <w:color w:val="FF0000"/>
          <w:kern w:val="2"/>
        </w:rPr>
        <w:sectPr>
          <w:footerReference r:id="rId9" w:type="first"/>
          <w:headerReference r:id="rId7" w:type="default"/>
          <w:footerReference r:id="rId8" w:type="default"/>
          <w:pgSz w:w="11907" w:h="16840"/>
          <w:pgMar w:top="1440" w:right="1559" w:bottom="1440" w:left="1559" w:header="851" w:footer="907" w:gutter="0"/>
          <w:cols w:space="720" w:num="1"/>
          <w:titlePg/>
          <w:rtlGutter w:val="1"/>
          <w:docGrid w:linePitch="286" w:charSpace="0"/>
        </w:sectPr>
      </w:pPr>
    </w:p>
    <w:p w14:paraId="02117CE9">
      <w:pPr>
        <w:pStyle w:val="3"/>
        <w:spacing w:line="360" w:lineRule="auto"/>
        <w:jc w:val="center"/>
        <w:rPr>
          <w:rFonts w:hint="eastAsia" w:ascii="宋体" w:hAnsi="宋体" w:eastAsia="宋体" w:cs="宋体"/>
          <w:b/>
          <w:bCs/>
          <w:sz w:val="32"/>
          <w:szCs w:val="32"/>
        </w:rPr>
      </w:pPr>
      <w:r>
        <w:rPr>
          <w:rFonts w:hint="eastAsia" w:ascii="宋体" w:hAnsi="宋体" w:eastAsia="宋体" w:cs="宋体"/>
          <w:b/>
          <w:bCs/>
          <w:sz w:val="32"/>
          <w:szCs w:val="32"/>
        </w:rPr>
        <w:t>第六章  响应文件的组成和格式</w:t>
      </w:r>
    </w:p>
    <w:bookmarkEnd w:id="113"/>
    <w:bookmarkEnd w:id="114"/>
    <w:bookmarkEnd w:id="115"/>
    <w:p w14:paraId="4468AA42">
      <w:pPr>
        <w:spacing w:line="360" w:lineRule="auto"/>
        <w:rPr>
          <w:rFonts w:hint="eastAsia" w:ascii="宋体" w:hAnsi="宋体" w:cs="宋体"/>
          <w:b/>
          <w:sz w:val="44"/>
          <w:szCs w:val="44"/>
        </w:rPr>
      </w:pPr>
    </w:p>
    <w:p w14:paraId="60C8F7F0">
      <w:pPr>
        <w:pStyle w:val="2"/>
        <w:rPr>
          <w:rFonts w:hint="eastAsia" w:ascii="宋体" w:hAnsi="宋体" w:eastAsia="宋体" w:cs="宋体"/>
        </w:rPr>
      </w:pPr>
    </w:p>
    <w:p w14:paraId="62424B65">
      <w:pPr>
        <w:rPr>
          <w:rFonts w:hint="eastAsia" w:ascii="宋体" w:hAnsi="宋体" w:cs="宋体"/>
        </w:rPr>
      </w:pPr>
    </w:p>
    <w:p w14:paraId="2EE6BEE9">
      <w:pPr>
        <w:jc w:val="center"/>
        <w:rPr>
          <w:rFonts w:hint="eastAsia" w:ascii="宋体" w:hAnsi="宋体" w:cs="宋体"/>
          <w:b/>
          <w:sz w:val="72"/>
          <w:szCs w:val="21"/>
        </w:rPr>
      </w:pPr>
      <w:r>
        <w:rPr>
          <w:rFonts w:hint="eastAsia" w:ascii="宋体" w:hAnsi="宋体" w:cs="宋体"/>
          <w:b/>
          <w:sz w:val="72"/>
          <w:szCs w:val="21"/>
        </w:rPr>
        <w:t>竞争性磋商响应文件</w:t>
      </w:r>
    </w:p>
    <w:p w14:paraId="56FE70D7">
      <w:pPr>
        <w:rPr>
          <w:rFonts w:hint="eastAsia" w:ascii="宋体" w:hAnsi="宋体" w:cs="宋体"/>
          <w:b/>
          <w:sz w:val="36"/>
          <w:szCs w:val="21"/>
        </w:rPr>
      </w:pPr>
    </w:p>
    <w:p w14:paraId="69F08FA2">
      <w:pPr>
        <w:jc w:val="center"/>
        <w:rPr>
          <w:rFonts w:hint="eastAsia" w:ascii="宋体" w:hAnsi="宋体" w:cs="宋体"/>
          <w:b/>
          <w:sz w:val="36"/>
          <w:szCs w:val="21"/>
        </w:rPr>
      </w:pPr>
      <w:r>
        <w:rPr>
          <w:rFonts w:hint="eastAsia" w:ascii="宋体" w:hAnsi="宋体" w:cs="宋体"/>
          <w:b/>
          <w:sz w:val="36"/>
          <w:szCs w:val="21"/>
        </w:rPr>
        <w:t>（正或副本）</w:t>
      </w:r>
    </w:p>
    <w:p w14:paraId="4DC7A1AA">
      <w:pPr>
        <w:ind w:firstLine="964" w:firstLineChars="300"/>
        <w:jc w:val="center"/>
        <w:rPr>
          <w:rFonts w:hint="eastAsia" w:ascii="宋体" w:hAnsi="宋体" w:cs="宋体"/>
          <w:b/>
          <w:sz w:val="32"/>
          <w:szCs w:val="20"/>
        </w:rPr>
      </w:pPr>
    </w:p>
    <w:p w14:paraId="298AAAA6">
      <w:pPr>
        <w:jc w:val="center"/>
        <w:rPr>
          <w:rFonts w:hint="eastAsia" w:ascii="宋体" w:hAnsi="宋体" w:cs="宋体"/>
          <w:b/>
          <w:sz w:val="32"/>
          <w:szCs w:val="20"/>
        </w:rPr>
      </w:pPr>
      <w:r>
        <w:rPr>
          <w:rFonts w:hint="eastAsia" w:ascii="宋体" w:hAnsi="宋体" w:cs="宋体"/>
          <w:b/>
          <w:sz w:val="32"/>
          <w:szCs w:val="20"/>
        </w:rPr>
        <w:t>（资格审查证明文件/商务技术响应文件/价格响应文件）</w:t>
      </w:r>
    </w:p>
    <w:p w14:paraId="05A96030">
      <w:pPr>
        <w:ind w:firstLine="964" w:firstLineChars="300"/>
        <w:rPr>
          <w:rFonts w:hint="eastAsia" w:ascii="宋体" w:hAnsi="宋体" w:cs="宋体"/>
          <w:b/>
          <w:sz w:val="32"/>
          <w:szCs w:val="20"/>
        </w:rPr>
      </w:pPr>
    </w:p>
    <w:p w14:paraId="31804DCC">
      <w:pPr>
        <w:pStyle w:val="38"/>
        <w:ind w:firstLine="723"/>
        <w:rPr>
          <w:rFonts w:hint="eastAsia" w:eastAsia="宋体"/>
          <w:b/>
          <w:sz w:val="36"/>
          <w:szCs w:val="21"/>
        </w:rPr>
      </w:pPr>
    </w:p>
    <w:p w14:paraId="23E17C33">
      <w:pPr>
        <w:pStyle w:val="38"/>
        <w:ind w:firstLine="723"/>
        <w:rPr>
          <w:rFonts w:hint="eastAsia" w:eastAsia="宋体"/>
          <w:b/>
          <w:sz w:val="36"/>
          <w:szCs w:val="21"/>
        </w:rPr>
      </w:pPr>
    </w:p>
    <w:p w14:paraId="2769D27A">
      <w:pPr>
        <w:pStyle w:val="38"/>
        <w:ind w:firstLine="723"/>
        <w:rPr>
          <w:rFonts w:hint="eastAsia" w:eastAsia="宋体"/>
          <w:b/>
          <w:sz w:val="36"/>
          <w:szCs w:val="21"/>
        </w:rPr>
      </w:pPr>
    </w:p>
    <w:p w14:paraId="0B4D85FF">
      <w:pPr>
        <w:ind w:firstLine="1084" w:firstLineChars="300"/>
        <w:rPr>
          <w:rFonts w:hint="eastAsia" w:ascii="宋体" w:hAnsi="宋体" w:cs="宋体"/>
          <w:b/>
          <w:sz w:val="36"/>
          <w:szCs w:val="21"/>
        </w:rPr>
      </w:pPr>
    </w:p>
    <w:p w14:paraId="6EF0018E">
      <w:pPr>
        <w:spacing w:line="360" w:lineRule="auto"/>
        <w:ind w:firstLine="1084" w:firstLineChars="300"/>
        <w:rPr>
          <w:rFonts w:hint="eastAsia" w:ascii="宋体" w:hAnsi="宋体" w:cs="宋体"/>
          <w:b/>
          <w:sz w:val="36"/>
        </w:rPr>
      </w:pPr>
      <w:r>
        <w:rPr>
          <w:rFonts w:hint="eastAsia" w:ascii="宋体" w:hAnsi="宋体" w:cs="宋体"/>
          <w:b/>
          <w:sz w:val="36"/>
        </w:rPr>
        <w:t>项 目 名 称：</w:t>
      </w:r>
    </w:p>
    <w:p w14:paraId="0B1EE37C">
      <w:pPr>
        <w:spacing w:line="360" w:lineRule="auto"/>
        <w:ind w:firstLine="1084" w:firstLineChars="300"/>
        <w:rPr>
          <w:rFonts w:hint="eastAsia" w:ascii="宋体" w:hAnsi="宋体" w:cs="宋体"/>
          <w:b/>
          <w:sz w:val="36"/>
        </w:rPr>
      </w:pPr>
      <w:r>
        <w:rPr>
          <w:rFonts w:hint="eastAsia" w:ascii="宋体" w:hAnsi="宋体" w:cs="宋体"/>
          <w:b/>
          <w:sz w:val="36"/>
        </w:rPr>
        <w:t xml:space="preserve">供应商名称：               </w:t>
      </w:r>
    </w:p>
    <w:p w14:paraId="509CE4FB">
      <w:pPr>
        <w:spacing w:line="360" w:lineRule="auto"/>
        <w:rPr>
          <w:rFonts w:hint="eastAsia" w:ascii="宋体" w:hAnsi="宋体" w:cs="宋体"/>
          <w:sz w:val="28"/>
          <w:szCs w:val="28"/>
        </w:rPr>
      </w:pPr>
      <w:r>
        <w:rPr>
          <w:rFonts w:hint="eastAsia" w:ascii="宋体" w:hAnsi="宋体" w:cs="宋体"/>
          <w:b/>
          <w:sz w:val="36"/>
        </w:rPr>
        <w:t xml:space="preserve">      日       期：</w:t>
      </w:r>
    </w:p>
    <w:p w14:paraId="7125FFE9">
      <w:pPr>
        <w:spacing w:line="360" w:lineRule="auto"/>
        <w:jc w:val="center"/>
        <w:rPr>
          <w:rFonts w:hint="eastAsia" w:ascii="宋体" w:hAnsi="宋体" w:cs="宋体"/>
          <w:sz w:val="28"/>
          <w:szCs w:val="28"/>
        </w:rPr>
      </w:pPr>
    </w:p>
    <w:p w14:paraId="43173574">
      <w:pPr>
        <w:spacing w:line="360" w:lineRule="auto"/>
        <w:jc w:val="center"/>
        <w:rPr>
          <w:rFonts w:hint="eastAsia" w:ascii="宋体" w:hAnsi="宋体" w:cs="宋体"/>
          <w:sz w:val="28"/>
          <w:szCs w:val="28"/>
        </w:rPr>
      </w:pPr>
    </w:p>
    <w:p w14:paraId="28CDA5C7">
      <w:pPr>
        <w:spacing w:line="360" w:lineRule="auto"/>
        <w:jc w:val="center"/>
        <w:rPr>
          <w:rFonts w:hint="eastAsia" w:ascii="宋体" w:hAnsi="宋体" w:cs="宋体"/>
          <w:sz w:val="28"/>
          <w:szCs w:val="28"/>
        </w:rPr>
      </w:pPr>
    </w:p>
    <w:p w14:paraId="75CDCBF8">
      <w:pPr>
        <w:spacing w:line="360" w:lineRule="auto"/>
        <w:jc w:val="center"/>
        <w:rPr>
          <w:rFonts w:hint="eastAsia" w:ascii="宋体" w:hAnsi="宋体" w:cs="宋体"/>
          <w:sz w:val="30"/>
          <w:szCs w:val="30"/>
        </w:rPr>
      </w:pPr>
      <w:r>
        <w:rPr>
          <w:rFonts w:hint="eastAsia" w:ascii="宋体" w:hAnsi="宋体" w:cs="宋体"/>
          <w:sz w:val="28"/>
          <w:szCs w:val="28"/>
        </w:rPr>
        <w:br w:type="page"/>
      </w:r>
      <w:r>
        <w:rPr>
          <w:rFonts w:hint="eastAsia" w:ascii="宋体" w:hAnsi="宋体" w:cs="宋体"/>
          <w:sz w:val="28"/>
          <w:szCs w:val="28"/>
        </w:rPr>
        <w:t xml:space="preserve">第一部分 </w:t>
      </w:r>
      <w:r>
        <w:rPr>
          <w:rFonts w:hint="eastAsia" w:ascii="宋体" w:hAnsi="宋体" w:cs="宋体"/>
          <w:sz w:val="30"/>
          <w:szCs w:val="30"/>
        </w:rPr>
        <w:t>资格证明材料内容</w:t>
      </w:r>
    </w:p>
    <w:p w14:paraId="10B4E596">
      <w:pPr>
        <w:spacing w:line="360" w:lineRule="auto"/>
        <w:jc w:val="center"/>
        <w:rPr>
          <w:rFonts w:hint="eastAsia" w:ascii="宋体" w:hAnsi="宋体" w:cs="宋体"/>
          <w:sz w:val="32"/>
          <w:szCs w:val="32"/>
        </w:rPr>
      </w:pPr>
      <w:r>
        <w:rPr>
          <w:rFonts w:hint="eastAsia" w:ascii="宋体" w:hAnsi="宋体" w:cs="宋体"/>
          <w:sz w:val="32"/>
          <w:szCs w:val="32"/>
        </w:rPr>
        <w:t>目录</w:t>
      </w:r>
    </w:p>
    <w:p w14:paraId="43E252FB">
      <w:pPr>
        <w:spacing w:line="480" w:lineRule="exact"/>
        <w:ind w:firstLine="480" w:firstLineChars="200"/>
        <w:rPr>
          <w:rFonts w:hint="eastAsia" w:ascii="宋体" w:hAnsi="宋体" w:cs="宋体"/>
          <w:bCs/>
          <w:color w:val="000000"/>
          <w:sz w:val="24"/>
        </w:rPr>
      </w:pPr>
      <w:r>
        <w:rPr>
          <w:rFonts w:hint="eastAsia" w:ascii="宋体" w:hAnsi="宋体" w:cs="宋体"/>
          <w:bCs/>
          <w:color w:val="000000"/>
          <w:sz w:val="24"/>
        </w:rPr>
        <w:t>（1）法定代表人身份证明书及法定代表人身份证复印件；</w:t>
      </w:r>
    </w:p>
    <w:p w14:paraId="587B944B">
      <w:pPr>
        <w:spacing w:line="480" w:lineRule="exact"/>
        <w:ind w:firstLine="480" w:firstLineChars="200"/>
        <w:rPr>
          <w:rFonts w:hint="eastAsia" w:ascii="宋体" w:hAnsi="宋体" w:cs="宋体"/>
          <w:bCs/>
          <w:color w:val="000000"/>
          <w:sz w:val="24"/>
        </w:rPr>
      </w:pPr>
      <w:r>
        <w:rPr>
          <w:rFonts w:hint="eastAsia" w:ascii="宋体" w:hAnsi="宋体" w:cs="宋体"/>
          <w:bCs/>
          <w:color w:val="000000"/>
          <w:sz w:val="24"/>
        </w:rPr>
        <w:t>（2）法定代表人授权委托书及授权代理人身份证复印件（如有授权）；</w:t>
      </w:r>
    </w:p>
    <w:p w14:paraId="7123B68D">
      <w:pPr>
        <w:spacing w:line="480" w:lineRule="exact"/>
        <w:ind w:firstLine="480" w:firstLineChars="200"/>
        <w:rPr>
          <w:rFonts w:hint="eastAsia" w:ascii="宋体" w:hAnsi="宋体" w:cs="宋体"/>
          <w:bCs/>
          <w:color w:val="000000"/>
          <w:sz w:val="24"/>
        </w:rPr>
      </w:pPr>
      <w:r>
        <w:rPr>
          <w:rFonts w:hint="eastAsia" w:ascii="宋体" w:hAnsi="宋体" w:cs="宋体"/>
          <w:bCs/>
          <w:color w:val="000000"/>
          <w:sz w:val="24"/>
        </w:rPr>
        <w:t>（3）供应商有效营业执照复印件；</w:t>
      </w:r>
    </w:p>
    <w:p w14:paraId="1A4314AE">
      <w:pPr>
        <w:spacing w:line="480" w:lineRule="exact"/>
        <w:ind w:firstLine="480" w:firstLineChars="200"/>
        <w:rPr>
          <w:rFonts w:hint="eastAsia" w:ascii="宋体" w:hAnsi="宋体" w:cs="宋体"/>
          <w:bCs/>
          <w:color w:val="000000"/>
          <w:sz w:val="24"/>
        </w:rPr>
      </w:pPr>
      <w:r>
        <w:rPr>
          <w:rFonts w:hint="eastAsia" w:ascii="宋体" w:hAnsi="宋体" w:cs="宋体"/>
          <w:bCs/>
          <w:color w:val="000000"/>
          <w:sz w:val="24"/>
        </w:rPr>
        <w:t>（4）声明函（格式见第六章响应文件格式）；</w:t>
      </w:r>
    </w:p>
    <w:p w14:paraId="2D613B26">
      <w:pPr>
        <w:spacing w:line="480" w:lineRule="exact"/>
        <w:ind w:firstLine="480" w:firstLineChars="200"/>
        <w:rPr>
          <w:rFonts w:hint="eastAsia" w:ascii="宋体" w:hAnsi="宋体" w:cs="宋体"/>
          <w:bCs/>
          <w:color w:val="000000"/>
          <w:sz w:val="24"/>
        </w:rPr>
      </w:pPr>
      <w:r>
        <w:rPr>
          <w:rFonts w:hint="eastAsia" w:ascii="宋体" w:hAnsi="宋体" w:cs="宋体"/>
          <w:bCs/>
          <w:color w:val="000000"/>
          <w:sz w:val="24"/>
          <w:lang w:eastAsia="zh-CN"/>
        </w:rPr>
        <w:t>（</w:t>
      </w:r>
      <w:r>
        <w:rPr>
          <w:rFonts w:hint="eastAsia" w:ascii="宋体" w:hAnsi="宋体" w:cs="宋体"/>
          <w:bCs/>
          <w:color w:val="000000"/>
          <w:sz w:val="24"/>
          <w:lang w:val="en-US" w:eastAsia="zh-CN"/>
        </w:rPr>
        <w:t>5</w:t>
      </w:r>
      <w:r>
        <w:rPr>
          <w:rFonts w:hint="eastAsia" w:ascii="宋体" w:hAnsi="宋体" w:cs="宋体"/>
          <w:bCs/>
          <w:color w:val="000000"/>
          <w:sz w:val="24"/>
          <w:lang w:eastAsia="zh-CN"/>
        </w:rPr>
        <w:t>）</w:t>
      </w:r>
      <w:r>
        <w:rPr>
          <w:rFonts w:hint="eastAsia" w:ascii="宋体" w:hAnsi="宋体" w:cs="宋体"/>
          <w:bCs/>
          <w:color w:val="000000"/>
          <w:sz w:val="24"/>
        </w:rPr>
        <w:t>供应商符合国家规定的消防技术服务机构的从业条件，供应商在社会消防技术服务信息系统（https://shhxf.119.gov.cn/templet/index_7.jsp）中本单位基本信息已满足要求（单位类型为消防设施维护保养检测）的截图证明；</w:t>
      </w:r>
    </w:p>
    <w:p w14:paraId="3D6DB096">
      <w:pPr>
        <w:spacing w:line="480" w:lineRule="exact"/>
        <w:ind w:firstLine="480" w:firstLineChars="200"/>
        <w:rPr>
          <w:rFonts w:hint="eastAsia" w:ascii="宋体" w:hAnsi="宋体" w:eastAsia="宋体" w:cs="宋体"/>
          <w:bCs/>
          <w:color w:val="000000"/>
          <w:sz w:val="24"/>
          <w:lang w:eastAsia="zh-CN"/>
        </w:rPr>
      </w:pPr>
      <w:r>
        <w:rPr>
          <w:rFonts w:hint="eastAsia" w:ascii="宋体" w:hAnsi="宋体" w:cs="宋体"/>
          <w:bCs/>
          <w:color w:val="000000"/>
          <w:sz w:val="24"/>
        </w:rPr>
        <w:t>（6）拟派项目负责人具备注册消防工程师资格</w:t>
      </w:r>
      <w:r>
        <w:rPr>
          <w:rFonts w:hint="eastAsia" w:ascii="宋体" w:hAnsi="宋体" w:cs="宋体"/>
          <w:bCs/>
          <w:color w:val="000000"/>
          <w:sz w:val="24"/>
          <w:lang w:eastAsia="zh-CN"/>
        </w:rPr>
        <w:t>；</w:t>
      </w:r>
    </w:p>
    <w:p w14:paraId="4D6C958F">
      <w:pPr>
        <w:spacing w:line="480" w:lineRule="exact"/>
        <w:ind w:firstLine="480" w:firstLineChars="200"/>
        <w:rPr>
          <w:rFonts w:hint="eastAsia" w:ascii="宋体" w:hAnsi="宋体" w:cs="宋体"/>
          <w:sz w:val="24"/>
        </w:rPr>
      </w:pPr>
      <w:r>
        <w:rPr>
          <w:rFonts w:hint="eastAsia" w:ascii="宋体" w:hAnsi="宋体" w:cs="宋体"/>
          <w:sz w:val="24"/>
        </w:rPr>
        <w:t>（</w:t>
      </w:r>
      <w:r>
        <w:rPr>
          <w:rFonts w:hint="eastAsia" w:ascii="宋体" w:hAnsi="宋体" w:cs="宋体"/>
          <w:sz w:val="24"/>
          <w:lang w:val="en-US" w:eastAsia="zh-CN"/>
        </w:rPr>
        <w:t>7</w:t>
      </w:r>
      <w:r>
        <w:rPr>
          <w:rFonts w:hint="eastAsia" w:ascii="宋体" w:hAnsi="宋体" w:cs="宋体"/>
          <w:sz w:val="24"/>
        </w:rPr>
        <w:t>）供应商认为其他必要的材料。</w:t>
      </w:r>
    </w:p>
    <w:p w14:paraId="1E73C77B">
      <w:pPr>
        <w:spacing w:line="360" w:lineRule="auto"/>
        <w:ind w:firstLine="480" w:firstLineChars="200"/>
        <w:jc w:val="center"/>
        <w:rPr>
          <w:rFonts w:hint="eastAsia" w:ascii="宋体" w:hAnsi="宋体" w:cs="宋体"/>
          <w:bCs/>
          <w:color w:val="000000"/>
          <w:kern w:val="0"/>
          <w:sz w:val="36"/>
          <w:szCs w:val="36"/>
        </w:rPr>
      </w:pPr>
      <w:r>
        <w:rPr>
          <w:rFonts w:hint="eastAsia" w:ascii="宋体" w:hAnsi="宋体" w:cs="宋体"/>
          <w:sz w:val="24"/>
        </w:rPr>
        <w:br w:type="page"/>
      </w:r>
      <w:r>
        <w:rPr>
          <w:rFonts w:hint="eastAsia" w:ascii="宋体" w:hAnsi="宋体" w:cs="宋体"/>
          <w:b/>
          <w:color w:val="000000"/>
          <w:sz w:val="32"/>
          <w:szCs w:val="32"/>
        </w:rPr>
        <w:t>法定代表人资格证明书</w:t>
      </w:r>
    </w:p>
    <w:p w14:paraId="0812320E">
      <w:pPr>
        <w:jc w:val="center"/>
        <w:rPr>
          <w:rFonts w:hint="eastAsia" w:ascii="宋体" w:hAnsi="宋体" w:cs="宋体"/>
          <w:bCs/>
          <w:color w:val="000000"/>
          <w:kern w:val="0"/>
          <w:sz w:val="44"/>
        </w:rPr>
      </w:pPr>
    </w:p>
    <w:p w14:paraId="0DACB2AE">
      <w:pPr>
        <w:ind w:firstLine="560" w:firstLineChars="200"/>
        <w:rPr>
          <w:rFonts w:hint="eastAsia" w:ascii="宋体" w:hAnsi="宋体" w:cs="宋体"/>
          <w:color w:val="000000"/>
          <w:kern w:val="0"/>
          <w:sz w:val="28"/>
          <w:szCs w:val="28"/>
        </w:rPr>
      </w:pPr>
    </w:p>
    <w:p w14:paraId="2CDA9CC7">
      <w:pPr>
        <w:ind w:firstLine="480" w:firstLineChars="200"/>
        <w:rPr>
          <w:rFonts w:hint="eastAsia" w:ascii="宋体" w:hAnsi="宋体" w:cs="宋体"/>
          <w:color w:val="000000"/>
          <w:kern w:val="0"/>
          <w:sz w:val="24"/>
        </w:rPr>
      </w:pPr>
      <w:r>
        <w:rPr>
          <w:rFonts w:hint="eastAsia" w:ascii="宋体" w:hAnsi="宋体" w:cs="宋体"/>
          <w:color w:val="000000"/>
          <w:kern w:val="0"/>
          <w:sz w:val="24"/>
          <w:u w:val="single"/>
        </w:rPr>
        <w:t>（法定代表人姓名）</w:t>
      </w:r>
      <w:r>
        <w:rPr>
          <w:rFonts w:hint="eastAsia" w:ascii="宋体" w:hAnsi="宋体" w:cs="宋体"/>
          <w:color w:val="000000"/>
          <w:kern w:val="0"/>
          <w:sz w:val="24"/>
        </w:rPr>
        <w:t>系</w:t>
      </w:r>
      <w:r>
        <w:rPr>
          <w:rFonts w:hint="eastAsia" w:ascii="宋体" w:hAnsi="宋体" w:cs="宋体"/>
          <w:color w:val="000000"/>
          <w:kern w:val="0"/>
          <w:sz w:val="24"/>
          <w:u w:val="single"/>
        </w:rPr>
        <w:t>（供应商全称）</w:t>
      </w:r>
      <w:r>
        <w:rPr>
          <w:rFonts w:hint="eastAsia" w:ascii="宋体" w:hAnsi="宋体" w:cs="宋体"/>
          <w:color w:val="000000"/>
          <w:kern w:val="0"/>
          <w:sz w:val="24"/>
        </w:rPr>
        <w:t>的法定代表人。</w:t>
      </w:r>
    </w:p>
    <w:p w14:paraId="4C360F66">
      <w:pPr>
        <w:ind w:firstLine="480" w:firstLineChars="200"/>
        <w:rPr>
          <w:rFonts w:hint="eastAsia" w:ascii="宋体" w:hAnsi="宋体" w:cs="宋体"/>
          <w:color w:val="000000"/>
          <w:kern w:val="0"/>
          <w:sz w:val="24"/>
        </w:rPr>
      </w:pPr>
    </w:p>
    <w:p w14:paraId="35F93957">
      <w:pPr>
        <w:ind w:firstLine="480" w:firstLineChars="200"/>
        <w:rPr>
          <w:rFonts w:hint="eastAsia" w:ascii="宋体" w:hAnsi="宋体" w:cs="宋体"/>
          <w:color w:val="000000"/>
          <w:kern w:val="0"/>
          <w:sz w:val="24"/>
        </w:rPr>
      </w:pPr>
      <w:r>
        <w:rPr>
          <w:rFonts w:hint="eastAsia" w:ascii="宋体" w:hAnsi="宋体" w:cs="宋体"/>
          <w:color w:val="000000"/>
          <w:kern w:val="0"/>
          <w:sz w:val="24"/>
        </w:rPr>
        <w:t>特此证明</w:t>
      </w:r>
    </w:p>
    <w:p w14:paraId="4870FF02">
      <w:pPr>
        <w:rPr>
          <w:rFonts w:hint="eastAsia" w:ascii="宋体" w:hAnsi="宋体" w:cs="宋体"/>
          <w:color w:val="000000"/>
          <w:kern w:val="0"/>
          <w:sz w:val="24"/>
        </w:rPr>
      </w:pPr>
      <w:r>
        <w:rPr>
          <w:rFonts w:hint="eastAsia" w:ascii="宋体" w:hAnsi="宋体" w:cs="宋体"/>
          <w:color w:val="000000"/>
          <w:szCs w:val="21"/>
        </w:rPr>
        <mc:AlternateContent>
          <mc:Choice Requires="wps">
            <w:drawing>
              <wp:anchor distT="0" distB="0" distL="114300" distR="114300" simplePos="0" relativeHeight="251659264" behindDoc="0" locked="0" layoutInCell="1" allowOverlap="1">
                <wp:simplePos x="0" y="0"/>
                <wp:positionH relativeFrom="column">
                  <wp:posOffset>349885</wp:posOffset>
                </wp:positionH>
                <wp:positionV relativeFrom="paragraph">
                  <wp:posOffset>71755</wp:posOffset>
                </wp:positionV>
                <wp:extent cx="2240915" cy="1125855"/>
                <wp:effectExtent l="4445" t="4445" r="21590" b="12700"/>
                <wp:wrapNone/>
                <wp:docPr id="4" name="文本框 4"/>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B1FBF59">
                            <w:pPr>
                              <w:jc w:val="center"/>
                              <w:rPr>
                                <w:rFonts w:ascii="宋体"/>
                              </w:rPr>
                            </w:pPr>
                          </w:p>
                          <w:p w14:paraId="32A2D917">
                            <w:pPr>
                              <w:jc w:val="center"/>
                              <w:rPr>
                                <w:rFonts w:ascii="宋体"/>
                                <w:sz w:val="28"/>
                                <w:szCs w:val="28"/>
                              </w:rPr>
                            </w:pPr>
                            <w:r>
                              <w:rPr>
                                <w:rFonts w:hint="eastAsia" w:ascii="宋体" w:hAnsi="宋体"/>
                                <w:sz w:val="28"/>
                                <w:szCs w:val="28"/>
                              </w:rPr>
                              <w:t>法定代表人身份证复印件</w:t>
                            </w:r>
                          </w:p>
                          <w:p w14:paraId="375AF3EE">
                            <w:pPr>
                              <w:jc w:val="center"/>
                              <w:rPr>
                                <w:sz w:val="28"/>
                                <w:szCs w:val="28"/>
                              </w:rPr>
                            </w:pPr>
                            <w:r>
                              <w:rPr>
                                <w:rFonts w:hint="eastAsia" w:ascii="宋体" w:hAnsi="宋体"/>
                                <w:sz w:val="28"/>
                                <w:szCs w:val="28"/>
                              </w:rPr>
                              <w:t>（正面或反面）</w:t>
                            </w:r>
                          </w:p>
                        </w:txbxContent>
                      </wps:txbx>
                      <wps:bodyPr wrap="square" anchor="ctr" anchorCtr="0" upright="1"/>
                    </wps:wsp>
                  </a:graphicData>
                </a:graphic>
              </wp:anchor>
            </w:drawing>
          </mc:Choice>
          <mc:Fallback>
            <w:pict>
              <v:shape id="_x0000_s1026" o:spid="_x0000_s1026" o:spt="202" type="#_x0000_t202" style="position:absolute;left:0pt;margin-left:27.55pt;margin-top:5.65pt;height:88.65pt;width:176.45pt;z-index:251659264;v-text-anchor:middle;mso-width-relative:page;mso-height-relative:page;" fillcolor="#FFFFFF" filled="t" stroked="t" coordsize="21600,21600" o:gfxdata="UEsDBAoAAAAAAIdO4kAAAAAAAAAAAAAAAAAEAAAAZHJzL1BLAwQUAAAACACHTuJANvUrQdQAAAAJ&#10;AQAADwAAAGRycy9kb3ducmV2LnhtbE2PzU7DMBCE70i8g7VI3KhtoJEJcXoAtUckUh7AiZckqn+i&#10;2P0hT9/lBMedGc1+U20u3rETzmmMQYNcCWAYumjH0Gv42m8fFLCUTbDGxYAafjDBpr69qUxp4zl8&#10;4qnJPaOSkEqjYch5KjlP3YDepFWcMJD3HWdvMp1zz+1szlTuHX8UouDejIE+DGbCtwG7Q3P0Gj5e&#10;FPbLe+rEYdv4Xbu4tBRS6/s7KV6BZbzkvzD84hM61MTUxmOwiTkN67WkJOnyCRj5z0LRtpYEpQrg&#10;dcX/L6ivUEsDBBQAAAAIAIdO4kBupKZ9KQIAAG0EAAAOAAAAZHJzL2Uyb0RvYy54bWytVM2O0zAQ&#10;viPxDpbvNGnUot2o6UpsKRcESAsPMHWcxJL/sN0mfQF4A05cuPNcfY4dO23pLhx6IIdkbI+/me+b&#10;mSzuBiXJjjsvjK7odJJTwjUztdBtRb98Xr+6ocQH0DVIo3lF99zTu+XLF4velrwwnZE1dwRBtC97&#10;W9EuBFtmmWcdV+AnxnKNh41xCgIuXZvVDnpEVzIr8vx11htXW2cY9x53V+MhPSK6awBN0wjGV4Zt&#10;FddhRHVcQkBKvhPW02XKtmk4Cx+bxvNAZEWRaUhvDIL2Jr6z5QLK1oHtBDumANek8IyTAqEx6Blq&#10;BQHI1om/oJRgznjThAkzKhuJJEWQxTR/ps1DB5YnLii1t2fR/f+DZR92nxwRdUVnlGhQWPDDj++H&#10;n78Pv76RWZSnt75ErweLfmF4YwZsmtO+x83Iemicil/kQ/Acxd2fxeVDIAw3i2KW307nlDA8m06L&#10;+c18HnGyP9et8+EdN4pEo6IOq5dEhd17H0bXk0uM5o0U9VpImRau3dxLR3aAlV6n54j+xE1q0lf0&#10;dl7ERADbt8G2QVNZlMDrNsV7csNfAufp+RdwTGwFvhsTqNGKXlAqEbhLVsehfqtrEvYWVdY4XDTm&#10;onhNieQ4i9FKngGEvMYTpZM6BuGp048ixYKNhYlWGDYDgkZzY+o9FrHHbkeuX7fgMAPQrDM4ECy4&#10;0+I+jAOytU60HRYi1TuLENiFqWLHiYltfrlG+/IvsXwE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NvUrQdQAAAAJAQAADwAAAAAAAAABACAAAAAiAAAAZHJzL2Rvd25yZXYueG1sUEsBAhQAFAAAAAgA&#10;h07iQG6kpn0pAgAAbQQAAA4AAAAAAAAAAQAgAAAAIwEAAGRycy9lMm9Eb2MueG1sUEsFBgAAAAAG&#10;AAYAWQEAAL4FAAAAAA==&#10;">
                <v:fill on="t" focussize="0,0"/>
                <v:stroke color="#000000" joinstyle="miter" dashstyle="dash"/>
                <v:imagedata o:title=""/>
                <o:lock v:ext="edit" aspectratio="f"/>
                <v:textbox>
                  <w:txbxContent>
                    <w:p w14:paraId="4B1FBF59">
                      <w:pPr>
                        <w:jc w:val="center"/>
                        <w:rPr>
                          <w:rFonts w:ascii="宋体"/>
                        </w:rPr>
                      </w:pPr>
                    </w:p>
                    <w:p w14:paraId="32A2D917">
                      <w:pPr>
                        <w:jc w:val="center"/>
                        <w:rPr>
                          <w:rFonts w:ascii="宋体"/>
                          <w:sz w:val="28"/>
                          <w:szCs w:val="28"/>
                        </w:rPr>
                      </w:pPr>
                      <w:r>
                        <w:rPr>
                          <w:rFonts w:hint="eastAsia" w:ascii="宋体" w:hAnsi="宋体"/>
                          <w:sz w:val="28"/>
                          <w:szCs w:val="28"/>
                        </w:rPr>
                        <w:t>法定代表人身份证复印件</w:t>
                      </w:r>
                    </w:p>
                    <w:p w14:paraId="375AF3EE">
                      <w:pPr>
                        <w:jc w:val="center"/>
                        <w:rPr>
                          <w:sz w:val="28"/>
                          <w:szCs w:val="28"/>
                        </w:rPr>
                      </w:pPr>
                      <w:r>
                        <w:rPr>
                          <w:rFonts w:hint="eastAsia" w:ascii="宋体" w:hAnsi="宋体"/>
                          <w:sz w:val="28"/>
                          <w:szCs w:val="28"/>
                        </w:rPr>
                        <w:t>（正面或反面）</w:t>
                      </w:r>
                    </w:p>
                  </w:txbxContent>
                </v:textbox>
              </v:shape>
            </w:pict>
          </mc:Fallback>
        </mc:AlternateContent>
      </w:r>
      <w:r>
        <w:rPr>
          <w:rFonts w:hint="eastAsia" w:ascii="宋体" w:hAnsi="宋体" w:cs="宋体"/>
          <w:color w:val="000000"/>
          <w:szCs w:val="21"/>
        </w:rPr>
        <mc:AlternateContent>
          <mc:Choice Requires="wps">
            <w:drawing>
              <wp:anchor distT="0" distB="0" distL="114300" distR="114300" simplePos="0" relativeHeight="251660288" behindDoc="0" locked="0" layoutInCell="1" allowOverlap="1">
                <wp:simplePos x="0" y="0"/>
                <wp:positionH relativeFrom="column">
                  <wp:posOffset>2895600</wp:posOffset>
                </wp:positionH>
                <wp:positionV relativeFrom="paragraph">
                  <wp:posOffset>63500</wp:posOffset>
                </wp:positionV>
                <wp:extent cx="2240915" cy="1125855"/>
                <wp:effectExtent l="4445" t="4445" r="21590" b="12700"/>
                <wp:wrapNone/>
                <wp:docPr id="5" name="文本框 5"/>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B0FCD07">
                            <w:pPr>
                              <w:jc w:val="center"/>
                              <w:rPr>
                                <w:rFonts w:ascii="宋体"/>
                              </w:rPr>
                            </w:pPr>
                          </w:p>
                          <w:p w14:paraId="1B76E9B5">
                            <w:pPr>
                              <w:jc w:val="center"/>
                              <w:rPr>
                                <w:rFonts w:ascii="宋体"/>
                                <w:sz w:val="28"/>
                                <w:szCs w:val="28"/>
                              </w:rPr>
                            </w:pPr>
                            <w:r>
                              <w:rPr>
                                <w:rFonts w:hint="eastAsia" w:ascii="宋体" w:hAnsi="宋体"/>
                                <w:sz w:val="28"/>
                                <w:szCs w:val="28"/>
                              </w:rPr>
                              <w:t>法定代表人身份证复印件</w:t>
                            </w:r>
                          </w:p>
                          <w:p w14:paraId="6DD7F821">
                            <w:pPr>
                              <w:jc w:val="center"/>
                              <w:rPr>
                                <w:sz w:val="28"/>
                                <w:szCs w:val="28"/>
                              </w:rPr>
                            </w:pPr>
                            <w:r>
                              <w:rPr>
                                <w:rFonts w:hint="eastAsia" w:ascii="宋体" w:hAnsi="宋体"/>
                                <w:sz w:val="28"/>
                                <w:szCs w:val="28"/>
                              </w:rPr>
                              <w:t>（左侧身份证复印件的另一面）</w:t>
                            </w:r>
                          </w:p>
                        </w:txbxContent>
                      </wps:txbx>
                      <wps:bodyPr wrap="square" anchor="ctr" anchorCtr="0" upright="1"/>
                    </wps:wsp>
                  </a:graphicData>
                </a:graphic>
              </wp:anchor>
            </w:drawing>
          </mc:Choice>
          <mc:Fallback>
            <w:pict>
              <v:shape id="_x0000_s1026" o:spid="_x0000_s1026" o:spt="202" type="#_x0000_t202" style="position:absolute;left:0pt;margin-left:228pt;margin-top:5pt;height:88.65pt;width:176.45pt;z-index:251660288;v-text-anchor:middle;mso-width-relative:page;mso-height-relative:page;" fillcolor="#FFFFFF" filled="t" stroked="t" coordsize="21600,21600" o:gfxdata="UEsDBAoAAAAAAIdO4kAAAAAAAAAAAAAAAAAEAAAAZHJzL1BLAwQUAAAACACHTuJABPeeyNYAAAAK&#10;AQAADwAAAGRycy9kb3ducmV2LnhtbE2PzU7EMAyE70i8Q+SVuLFJ+SnZbtM9gJYjEoUHSBvTVts4&#10;VZP9oU+POcHJsmc0/qbcXfwoTjjHIZCBbK1AILXBDdQZ+PzY32oQMVlydgyEBr4xwq66vipt4cKZ&#10;3vFUp05wCMXCGuhTmgopY9ujt3EdJiTWvsLsbeJ17qSb7ZnD/SjvlMqltwPxh95O+Nxje6iP3sDb&#10;RmO3vMRWHfa1f22WMS55ZszNKlNbEAkv6c8Mv/iMDhUzNeFILorRwMNjzl0SC4onG7TSGxANH/TT&#10;PciqlP8rVD9QSwMEFAAAAAgAh07iQE67UHEqAgAAbQQAAA4AAABkcnMvZTJvRG9jLnhtbK1UzY7T&#10;MBC+I/EOlu80aUXRbtR0JbaUCwKkhQeY2k5iyX/YbpO+ALwBJy7cea4+B2OnLd2FQw/kkIzt8Tff&#10;fDOTxd2gFdkJH6Q1NZ1OSkqEYZZL09b086f1ixtKQgTDQVkjaroXgd4tnz9b9K4SM9tZxYUnCGJC&#10;1buadjG6qigC64SGMLFOGDxsrNcQcenbgnvoEV2rYlaWr4reeu68ZSIE3F2Nh/SI6K8BtE0jmVhZ&#10;ttXCxBHVCwURUwqddIEuM9umESx+aJogIlE1xUxjfmMQtDfpXSwXULUeXCfZkQJcQ+FJThqkwaBn&#10;qBVEIFsv/4LSknkbbBMnzOpiTCQrgllMyyfaPHTgRM4FpQ7uLHr4f7Ds/e6jJ5LXdE6JAY0FP3z/&#10;dvjx6/DzK5kneXoXKvR6cOgXh9d2wKY57QfcTFkPjdfpi/kQPEdx92dxxRAJw83Z7GV5O8UoDM+m&#10;09n8Zp7xiz/XnQ/xrbCaJKOmHquXRYXduxCRCrqeXFK0YJXka6lUXvh2c6882QFWep2fxBKvPHJT&#10;hvQ1vZ3PEhHA9m2wbdDUDiUIps3xHt0Il8Blfv4FnIitIHQjAY5W8oJKyyh8tjoB/I3hJO4dqmxw&#10;uGjiogWnRAmcxWRlzwhSXeOJySmTgojc6UeRUsHGwiQrDpsBQZO5sXyPReyx2zHXL1vwyAAM6ywO&#10;BIv+tLiP44BsnZdth4XI9S4SBHZh1vQ4ManNL9doX/4ll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BPeeyNYAAAAKAQAADwAAAAAAAAABACAAAAAiAAAAZHJzL2Rvd25yZXYueG1sUEsBAhQAFAAA&#10;AAgAh07iQE67UHEqAgAAbQQAAA4AAAAAAAAAAQAgAAAAJQEAAGRycy9lMm9Eb2MueG1sUEsFBgAA&#10;AAAGAAYAWQEAAMEFAAAAAA==&#10;">
                <v:fill on="t" focussize="0,0"/>
                <v:stroke color="#000000" joinstyle="miter" dashstyle="dash"/>
                <v:imagedata o:title=""/>
                <o:lock v:ext="edit" aspectratio="f"/>
                <v:textbox>
                  <w:txbxContent>
                    <w:p w14:paraId="5B0FCD07">
                      <w:pPr>
                        <w:jc w:val="center"/>
                        <w:rPr>
                          <w:rFonts w:ascii="宋体"/>
                        </w:rPr>
                      </w:pPr>
                    </w:p>
                    <w:p w14:paraId="1B76E9B5">
                      <w:pPr>
                        <w:jc w:val="center"/>
                        <w:rPr>
                          <w:rFonts w:ascii="宋体"/>
                          <w:sz w:val="28"/>
                          <w:szCs w:val="28"/>
                        </w:rPr>
                      </w:pPr>
                      <w:r>
                        <w:rPr>
                          <w:rFonts w:hint="eastAsia" w:ascii="宋体" w:hAnsi="宋体"/>
                          <w:sz w:val="28"/>
                          <w:szCs w:val="28"/>
                        </w:rPr>
                        <w:t>法定代表人身份证复印件</w:t>
                      </w:r>
                    </w:p>
                    <w:p w14:paraId="6DD7F821">
                      <w:pPr>
                        <w:jc w:val="center"/>
                        <w:rPr>
                          <w:sz w:val="28"/>
                          <w:szCs w:val="28"/>
                        </w:rPr>
                      </w:pPr>
                      <w:r>
                        <w:rPr>
                          <w:rFonts w:hint="eastAsia" w:ascii="宋体" w:hAnsi="宋体"/>
                          <w:sz w:val="28"/>
                          <w:szCs w:val="28"/>
                        </w:rPr>
                        <w:t>（左侧身份证复印件的另一面）</w:t>
                      </w:r>
                    </w:p>
                  </w:txbxContent>
                </v:textbox>
              </v:shape>
            </w:pict>
          </mc:Fallback>
        </mc:AlternateContent>
      </w:r>
    </w:p>
    <w:p w14:paraId="0879C78F">
      <w:pPr>
        <w:rPr>
          <w:rFonts w:hint="eastAsia" w:ascii="宋体" w:hAnsi="宋体" w:cs="宋体"/>
          <w:color w:val="000000"/>
          <w:kern w:val="0"/>
          <w:sz w:val="24"/>
        </w:rPr>
      </w:pPr>
    </w:p>
    <w:p w14:paraId="3416A5BE">
      <w:pPr>
        <w:rPr>
          <w:rFonts w:hint="eastAsia" w:ascii="宋体" w:hAnsi="宋体" w:cs="宋体"/>
          <w:color w:val="000000"/>
          <w:kern w:val="0"/>
          <w:sz w:val="24"/>
        </w:rPr>
      </w:pPr>
    </w:p>
    <w:p w14:paraId="062AC831">
      <w:pPr>
        <w:rPr>
          <w:rFonts w:hint="eastAsia" w:ascii="宋体" w:hAnsi="宋体" w:cs="宋体"/>
          <w:color w:val="000000"/>
          <w:kern w:val="0"/>
          <w:sz w:val="24"/>
        </w:rPr>
      </w:pPr>
    </w:p>
    <w:p w14:paraId="5830F705">
      <w:pPr>
        <w:rPr>
          <w:rFonts w:hint="eastAsia" w:ascii="宋体" w:hAnsi="宋体" w:cs="宋体"/>
          <w:color w:val="000000"/>
          <w:kern w:val="0"/>
          <w:sz w:val="24"/>
        </w:rPr>
      </w:pPr>
    </w:p>
    <w:p w14:paraId="6F62EEC9">
      <w:pPr>
        <w:rPr>
          <w:rFonts w:hint="eastAsia" w:ascii="宋体" w:hAnsi="宋体" w:cs="宋体"/>
          <w:color w:val="000000"/>
          <w:kern w:val="0"/>
          <w:sz w:val="24"/>
        </w:rPr>
      </w:pPr>
    </w:p>
    <w:p w14:paraId="041BF33A">
      <w:pPr>
        <w:rPr>
          <w:rFonts w:hint="eastAsia" w:ascii="宋体" w:hAnsi="宋体" w:cs="宋体"/>
          <w:color w:val="000000"/>
          <w:kern w:val="0"/>
          <w:sz w:val="24"/>
        </w:rPr>
      </w:pPr>
    </w:p>
    <w:p w14:paraId="7E08AE2A">
      <w:pPr>
        <w:rPr>
          <w:rFonts w:hint="eastAsia" w:ascii="宋体" w:hAnsi="宋体" w:cs="宋体"/>
          <w:color w:val="000000"/>
          <w:kern w:val="0"/>
          <w:sz w:val="24"/>
        </w:rPr>
      </w:pPr>
    </w:p>
    <w:p w14:paraId="79E7B94A">
      <w:pPr>
        <w:ind w:firstLine="4200" w:firstLineChars="1750"/>
        <w:rPr>
          <w:rFonts w:hint="eastAsia" w:ascii="宋体" w:hAnsi="宋体" w:cs="宋体"/>
          <w:color w:val="000000"/>
          <w:kern w:val="0"/>
          <w:sz w:val="24"/>
        </w:rPr>
      </w:pPr>
    </w:p>
    <w:p w14:paraId="6608D1C8">
      <w:pPr>
        <w:jc w:val="center"/>
        <w:rPr>
          <w:rFonts w:hint="eastAsia" w:ascii="宋体" w:hAnsi="宋体" w:cs="宋体"/>
          <w:color w:val="000000"/>
          <w:kern w:val="0"/>
          <w:sz w:val="24"/>
        </w:rPr>
      </w:pPr>
      <w:r>
        <w:rPr>
          <w:rFonts w:hint="eastAsia" w:ascii="宋体" w:hAnsi="宋体" w:cs="宋体"/>
          <w:color w:val="000000"/>
          <w:kern w:val="0"/>
          <w:sz w:val="24"/>
        </w:rPr>
        <w:t xml:space="preserve">                   供应商全称：（盖章）</w:t>
      </w:r>
    </w:p>
    <w:p w14:paraId="36C3AED3">
      <w:pPr>
        <w:jc w:val="left"/>
        <w:rPr>
          <w:rFonts w:hint="eastAsia" w:ascii="宋体" w:hAnsi="宋体" w:cs="宋体"/>
          <w:color w:val="000000"/>
          <w:kern w:val="0"/>
          <w:sz w:val="24"/>
        </w:rPr>
      </w:pPr>
    </w:p>
    <w:p w14:paraId="3A2E9CAA">
      <w:pPr>
        <w:jc w:val="center"/>
        <w:rPr>
          <w:rFonts w:hint="eastAsia" w:ascii="宋体" w:hAnsi="宋体" w:cs="宋体"/>
          <w:color w:val="000000"/>
          <w:kern w:val="0"/>
          <w:sz w:val="24"/>
        </w:rPr>
      </w:pPr>
      <w:r>
        <w:rPr>
          <w:rFonts w:hint="eastAsia" w:ascii="宋体" w:hAnsi="宋体" w:cs="宋体"/>
          <w:color w:val="000000"/>
          <w:kern w:val="0"/>
          <w:sz w:val="24"/>
        </w:rPr>
        <w:t xml:space="preserve">                         年  月  日</w:t>
      </w:r>
    </w:p>
    <w:p w14:paraId="25747D3B">
      <w:pPr>
        <w:ind w:firstLine="5980" w:firstLineChars="1869"/>
        <w:jc w:val="left"/>
        <w:rPr>
          <w:rFonts w:hint="eastAsia" w:ascii="宋体" w:hAnsi="宋体" w:cs="宋体"/>
          <w:color w:val="000000"/>
          <w:kern w:val="0"/>
          <w:sz w:val="32"/>
          <w:szCs w:val="32"/>
        </w:rPr>
      </w:pPr>
    </w:p>
    <w:p w14:paraId="7BCE70AD">
      <w:pPr>
        <w:jc w:val="center"/>
        <w:rPr>
          <w:rFonts w:hint="eastAsia" w:ascii="宋体" w:hAnsi="宋体" w:cs="宋体"/>
          <w:bCs/>
          <w:color w:val="000000"/>
          <w:kern w:val="0"/>
          <w:sz w:val="44"/>
          <w:szCs w:val="44"/>
        </w:rPr>
      </w:pPr>
      <w:r>
        <w:rPr>
          <w:rFonts w:hint="eastAsia" w:ascii="宋体" w:hAnsi="宋体" w:cs="宋体"/>
          <w:color w:val="000000"/>
          <w:kern w:val="0"/>
          <w:szCs w:val="28"/>
        </w:rPr>
        <w:br w:type="page"/>
      </w:r>
    </w:p>
    <w:p w14:paraId="293674B1">
      <w:pPr>
        <w:jc w:val="center"/>
        <w:rPr>
          <w:rFonts w:hint="eastAsia" w:ascii="宋体" w:hAnsi="宋体" w:cs="宋体"/>
          <w:bCs/>
          <w:color w:val="000000"/>
          <w:kern w:val="0"/>
          <w:sz w:val="32"/>
          <w:szCs w:val="32"/>
        </w:rPr>
      </w:pPr>
      <w:r>
        <w:rPr>
          <w:rFonts w:hint="eastAsia" w:ascii="宋体" w:hAnsi="宋体" w:cs="宋体"/>
          <w:b/>
          <w:color w:val="000000"/>
          <w:sz w:val="32"/>
          <w:szCs w:val="32"/>
        </w:rPr>
        <w:t>法定代表人授权书</w:t>
      </w:r>
    </w:p>
    <w:p w14:paraId="150BF455">
      <w:pPr>
        <w:spacing w:line="560" w:lineRule="exact"/>
        <w:rPr>
          <w:rFonts w:hint="eastAsia" w:ascii="宋体" w:hAnsi="宋体" w:cs="宋体"/>
          <w:color w:val="000000"/>
          <w:kern w:val="0"/>
          <w:sz w:val="28"/>
          <w:szCs w:val="28"/>
        </w:rPr>
      </w:pPr>
    </w:p>
    <w:p w14:paraId="46892880">
      <w:pPr>
        <w:spacing w:line="500" w:lineRule="exact"/>
        <w:rPr>
          <w:rFonts w:hint="eastAsia" w:ascii="宋体" w:hAnsi="宋体" w:cs="宋体"/>
          <w:color w:val="000000"/>
          <w:kern w:val="0"/>
          <w:sz w:val="24"/>
        </w:rPr>
      </w:pPr>
      <w:r>
        <w:rPr>
          <w:rFonts w:hint="eastAsia" w:ascii="宋体" w:hAnsi="宋体" w:cs="宋体"/>
          <w:color w:val="000000"/>
          <w:sz w:val="24"/>
          <w:lang w:eastAsia="zh-CN"/>
        </w:rPr>
        <w:t>南通中宏环境发展有限公司</w:t>
      </w:r>
      <w:r>
        <w:rPr>
          <w:rFonts w:hint="eastAsia" w:ascii="宋体" w:hAnsi="宋体" w:cs="宋体"/>
          <w:color w:val="000000"/>
          <w:kern w:val="0"/>
          <w:sz w:val="24"/>
        </w:rPr>
        <w:t>：</w:t>
      </w:r>
    </w:p>
    <w:p w14:paraId="0BE5BBB4">
      <w:pPr>
        <w:spacing w:line="500" w:lineRule="exact"/>
        <w:ind w:firstLine="511" w:firstLineChars="213"/>
        <w:rPr>
          <w:rFonts w:hint="eastAsia" w:ascii="宋体" w:hAnsi="宋体" w:cs="宋体"/>
          <w:color w:val="000000"/>
          <w:kern w:val="0"/>
          <w:sz w:val="24"/>
        </w:rPr>
      </w:pPr>
      <w:r>
        <w:rPr>
          <w:rFonts w:hint="eastAsia" w:ascii="宋体" w:hAnsi="宋体" w:cs="宋体"/>
          <w:color w:val="000000"/>
          <w:kern w:val="0"/>
          <w:sz w:val="24"/>
          <w:u w:val="single"/>
        </w:rPr>
        <w:t>（供应商全称）</w:t>
      </w:r>
      <w:r>
        <w:rPr>
          <w:rFonts w:hint="eastAsia" w:ascii="宋体" w:hAnsi="宋体" w:cs="宋体"/>
          <w:color w:val="000000"/>
          <w:kern w:val="0"/>
          <w:sz w:val="24"/>
        </w:rPr>
        <w:t>法定代表人</w:t>
      </w:r>
      <w:r>
        <w:rPr>
          <w:rFonts w:hint="eastAsia" w:ascii="宋体" w:hAnsi="宋体" w:cs="宋体"/>
          <w:color w:val="000000"/>
          <w:kern w:val="0"/>
          <w:sz w:val="24"/>
          <w:u w:val="single"/>
        </w:rPr>
        <w:t>（姓名、职务）</w:t>
      </w:r>
      <w:r>
        <w:rPr>
          <w:rFonts w:hint="eastAsia" w:ascii="宋体" w:hAnsi="宋体" w:cs="宋体"/>
          <w:color w:val="000000"/>
          <w:kern w:val="0"/>
          <w:sz w:val="24"/>
        </w:rPr>
        <w:t>授权</w:t>
      </w:r>
      <w:r>
        <w:rPr>
          <w:rFonts w:hint="eastAsia" w:ascii="宋体" w:hAnsi="宋体" w:cs="宋体"/>
          <w:color w:val="000000"/>
          <w:kern w:val="0"/>
          <w:sz w:val="24"/>
          <w:u w:val="single"/>
        </w:rPr>
        <w:t>（授权代表姓名、职务）</w:t>
      </w:r>
      <w:r>
        <w:rPr>
          <w:rFonts w:hint="eastAsia" w:ascii="宋体" w:hAnsi="宋体" w:cs="宋体"/>
          <w:color w:val="000000"/>
          <w:kern w:val="0"/>
          <w:sz w:val="24"/>
        </w:rPr>
        <w:t>为全权代表，参加贵单位组织的</w:t>
      </w:r>
      <w:r>
        <w:rPr>
          <w:rFonts w:hint="eastAsia" w:ascii="宋体" w:hAnsi="宋体" w:cs="宋体"/>
          <w:color w:val="000000"/>
          <w:kern w:val="0"/>
          <w:sz w:val="24"/>
          <w:u w:val="single"/>
        </w:rPr>
        <w:t>（项目名称）</w:t>
      </w:r>
      <w:r>
        <w:rPr>
          <w:rFonts w:hint="eastAsia" w:ascii="宋体" w:hAnsi="宋体" w:cs="宋体"/>
          <w:color w:val="000000"/>
          <w:kern w:val="0"/>
          <w:sz w:val="24"/>
        </w:rPr>
        <w:t>采购活动，全权处理采购活动中的一切事宜。</w:t>
      </w:r>
    </w:p>
    <w:p w14:paraId="6FF1D813">
      <w:pPr>
        <w:spacing w:line="500" w:lineRule="exact"/>
        <w:ind w:firstLine="600"/>
        <w:rPr>
          <w:rFonts w:hint="eastAsia" w:ascii="宋体" w:hAnsi="宋体" w:cs="宋体"/>
          <w:color w:val="000000"/>
          <w:kern w:val="0"/>
          <w:sz w:val="24"/>
        </w:rPr>
      </w:pPr>
    </w:p>
    <w:p w14:paraId="080C5578">
      <w:pPr>
        <w:spacing w:line="500" w:lineRule="exact"/>
        <w:ind w:left="-2" w:leftChars="-1" w:firstLine="3512"/>
        <w:rPr>
          <w:rFonts w:hint="eastAsia" w:ascii="宋体" w:hAnsi="宋体" w:cs="宋体"/>
          <w:color w:val="000000"/>
          <w:kern w:val="0"/>
          <w:sz w:val="24"/>
        </w:rPr>
      </w:pPr>
      <w:r>
        <w:rPr>
          <w:rFonts w:hint="eastAsia" w:ascii="宋体" w:hAnsi="宋体" w:cs="宋体"/>
          <w:color w:val="000000"/>
          <w:kern w:val="0"/>
          <w:sz w:val="24"/>
        </w:rPr>
        <w:t>供应商：（盖章）</w:t>
      </w:r>
    </w:p>
    <w:p w14:paraId="6EA50CDF">
      <w:pPr>
        <w:spacing w:line="500" w:lineRule="exact"/>
        <w:ind w:left="6360" w:leftChars="1413" w:hanging="3393"/>
        <w:rPr>
          <w:rFonts w:hint="eastAsia" w:ascii="宋体" w:hAnsi="宋体" w:cs="宋体"/>
          <w:color w:val="000000"/>
          <w:kern w:val="0"/>
          <w:sz w:val="24"/>
        </w:rPr>
      </w:pPr>
    </w:p>
    <w:p w14:paraId="686E72B9">
      <w:pPr>
        <w:spacing w:line="500" w:lineRule="exact"/>
        <w:ind w:left="5872" w:leftChars="1699" w:hanging="2304" w:hangingChars="960"/>
        <w:rPr>
          <w:rFonts w:hint="eastAsia" w:ascii="宋体" w:hAnsi="宋体" w:cs="宋体"/>
          <w:color w:val="000000"/>
          <w:kern w:val="0"/>
          <w:sz w:val="24"/>
        </w:rPr>
      </w:pPr>
      <w:r>
        <w:rPr>
          <w:rFonts w:hint="eastAsia" w:ascii="宋体" w:hAnsi="宋体" w:cs="宋体"/>
          <w:color w:val="000000"/>
          <w:kern w:val="0"/>
          <w:sz w:val="24"/>
        </w:rPr>
        <w:t>法定代表人：（签字或盖章）</w:t>
      </w:r>
    </w:p>
    <w:p w14:paraId="4D6720DD">
      <w:pPr>
        <w:spacing w:line="500" w:lineRule="exact"/>
        <w:ind w:left="6360" w:leftChars="1413" w:hanging="3393"/>
        <w:rPr>
          <w:rFonts w:hint="eastAsia" w:ascii="宋体" w:hAnsi="宋体" w:cs="宋体"/>
          <w:color w:val="000000"/>
          <w:kern w:val="0"/>
          <w:sz w:val="24"/>
        </w:rPr>
      </w:pPr>
      <w:r>
        <w:rPr>
          <w:rFonts w:hint="eastAsia" w:ascii="宋体" w:hAnsi="宋体" w:cs="宋体"/>
          <w:color w:val="000000"/>
          <w:kern w:val="0"/>
          <w:sz w:val="24"/>
        </w:rPr>
        <w:t xml:space="preserve">                     年    月    日</w:t>
      </w:r>
    </w:p>
    <w:p w14:paraId="4CAF7B53">
      <w:pPr>
        <w:spacing w:line="500" w:lineRule="exact"/>
        <w:rPr>
          <w:rFonts w:hint="eastAsia" w:ascii="宋体" w:hAnsi="宋体" w:cs="宋体"/>
          <w:color w:val="000000"/>
          <w:kern w:val="0"/>
          <w:sz w:val="24"/>
        </w:rPr>
      </w:pPr>
      <w:r>
        <w:rPr>
          <w:rFonts w:hint="eastAsia" w:ascii="宋体" w:hAnsi="宋体" w:cs="宋体"/>
          <w:color w:val="000000"/>
          <w:kern w:val="0"/>
          <w:sz w:val="24"/>
        </w:rPr>
        <w:t>附：</w:t>
      </w:r>
    </w:p>
    <w:p w14:paraId="017E1737">
      <w:pPr>
        <w:spacing w:line="500" w:lineRule="exact"/>
        <w:ind w:firstLine="573"/>
        <w:rPr>
          <w:rFonts w:hint="eastAsia" w:ascii="宋体" w:hAnsi="宋体" w:cs="宋体"/>
          <w:color w:val="000000"/>
          <w:kern w:val="0"/>
          <w:sz w:val="24"/>
        </w:rPr>
      </w:pPr>
      <w:r>
        <w:rPr>
          <w:rFonts w:hint="eastAsia" w:ascii="宋体" w:hAnsi="宋体" w:cs="宋体"/>
          <w:color w:val="000000"/>
          <w:kern w:val="0"/>
          <w:sz w:val="24"/>
        </w:rPr>
        <w:t xml:space="preserve">授权代表姓名：              </w:t>
      </w:r>
    </w:p>
    <w:p w14:paraId="663EA185">
      <w:pPr>
        <w:spacing w:line="500" w:lineRule="exact"/>
        <w:ind w:firstLine="573"/>
        <w:rPr>
          <w:rFonts w:hint="eastAsia" w:ascii="宋体" w:hAnsi="宋体" w:cs="宋体"/>
          <w:color w:val="000000"/>
          <w:kern w:val="0"/>
          <w:sz w:val="24"/>
        </w:rPr>
      </w:pPr>
      <w:r>
        <w:rPr>
          <w:rFonts w:hint="eastAsia" w:ascii="宋体" w:hAnsi="宋体" w:cs="宋体"/>
          <w:color w:val="000000"/>
          <w:kern w:val="0"/>
          <w:sz w:val="24"/>
        </w:rPr>
        <w:t>职    务：                  电    话：</w:t>
      </w:r>
    </w:p>
    <w:p w14:paraId="2DBAABF6">
      <w:pPr>
        <w:spacing w:line="500" w:lineRule="exact"/>
        <w:ind w:firstLine="573"/>
        <w:rPr>
          <w:rFonts w:hint="eastAsia" w:ascii="宋体" w:hAnsi="宋体" w:cs="宋体"/>
          <w:color w:val="000000"/>
          <w:kern w:val="0"/>
          <w:sz w:val="24"/>
        </w:rPr>
      </w:pPr>
      <w:r>
        <w:rPr>
          <w:rFonts w:hint="eastAsia" w:ascii="宋体" w:hAnsi="宋体" w:cs="宋体"/>
          <w:color w:val="000000"/>
          <w:kern w:val="0"/>
          <w:sz w:val="24"/>
        </w:rPr>
        <w:t>传    真：                  邮    编：</w:t>
      </w:r>
    </w:p>
    <w:p w14:paraId="65F4488F">
      <w:pPr>
        <w:spacing w:line="500" w:lineRule="exact"/>
        <w:ind w:firstLine="573"/>
        <w:rPr>
          <w:rFonts w:hint="eastAsia" w:ascii="宋体" w:hAnsi="宋体" w:cs="宋体"/>
          <w:color w:val="000000"/>
          <w:kern w:val="0"/>
          <w:sz w:val="24"/>
        </w:rPr>
      </w:pPr>
      <w:r>
        <w:rPr>
          <w:rFonts w:hint="eastAsia" w:ascii="宋体" w:hAnsi="宋体" w:cs="宋体"/>
          <w:color w:val="000000"/>
          <w:kern w:val="0"/>
          <w:sz w:val="24"/>
        </w:rPr>
        <w:t>通讯地址：</w:t>
      </w:r>
    </w:p>
    <w:p w14:paraId="29612006">
      <w:pPr>
        <w:spacing w:line="560" w:lineRule="exact"/>
        <w:ind w:firstLine="573"/>
        <w:rPr>
          <w:rFonts w:hint="eastAsia" w:ascii="宋体" w:hAnsi="宋体" w:cs="宋体"/>
          <w:color w:val="000000"/>
          <w:kern w:val="0"/>
          <w:sz w:val="24"/>
        </w:rPr>
      </w:pPr>
      <w:r>
        <w:rPr>
          <w:rFonts w:hint="eastAsia" w:ascii="宋体" w:hAnsi="宋体" w:cs="宋体"/>
          <w:color w:val="000000"/>
          <w:szCs w:val="21"/>
        </w:rPr>
        <mc:AlternateContent>
          <mc:Choice Requires="wps">
            <w:drawing>
              <wp:anchor distT="0" distB="0" distL="114300" distR="114300" simplePos="0" relativeHeight="251662336" behindDoc="0" locked="0" layoutInCell="1" allowOverlap="1">
                <wp:simplePos x="0" y="0"/>
                <wp:positionH relativeFrom="column">
                  <wp:posOffset>2875915</wp:posOffset>
                </wp:positionH>
                <wp:positionV relativeFrom="paragraph">
                  <wp:posOffset>119380</wp:posOffset>
                </wp:positionV>
                <wp:extent cx="2240915" cy="1125855"/>
                <wp:effectExtent l="4445" t="4445" r="21590" b="12700"/>
                <wp:wrapNone/>
                <wp:docPr id="6" name="文本框 6"/>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4F3D2AE">
                            <w:pPr>
                              <w:jc w:val="center"/>
                              <w:rPr>
                                <w:rFonts w:ascii="宋体"/>
                              </w:rPr>
                            </w:pPr>
                          </w:p>
                          <w:p w14:paraId="6EA60895">
                            <w:pPr>
                              <w:jc w:val="center"/>
                              <w:rPr>
                                <w:rFonts w:ascii="宋体"/>
                                <w:sz w:val="28"/>
                                <w:szCs w:val="28"/>
                              </w:rPr>
                            </w:pPr>
                            <w:r>
                              <w:rPr>
                                <w:rFonts w:hint="eastAsia" w:ascii="宋体" w:hAnsi="宋体"/>
                                <w:sz w:val="28"/>
                                <w:szCs w:val="28"/>
                              </w:rPr>
                              <w:t>授权代表身份证复印件</w:t>
                            </w:r>
                          </w:p>
                          <w:p w14:paraId="2500862B">
                            <w:pPr>
                              <w:jc w:val="center"/>
                              <w:rPr>
                                <w:sz w:val="28"/>
                                <w:szCs w:val="28"/>
                              </w:rPr>
                            </w:pPr>
                            <w:r>
                              <w:rPr>
                                <w:rFonts w:hint="eastAsia" w:ascii="宋体" w:hAnsi="宋体"/>
                                <w:sz w:val="28"/>
                                <w:szCs w:val="28"/>
                              </w:rPr>
                              <w:t>（左侧身份证复印件的另一面）</w:t>
                            </w:r>
                          </w:p>
                          <w:p w14:paraId="392A9A29">
                            <w:pPr>
                              <w:jc w:val="center"/>
                              <w:rPr>
                                <w:sz w:val="28"/>
                                <w:szCs w:val="28"/>
                              </w:rPr>
                            </w:pPr>
                          </w:p>
                        </w:txbxContent>
                      </wps:txbx>
                      <wps:bodyPr wrap="square" anchor="ctr" anchorCtr="0" upright="1"/>
                    </wps:wsp>
                  </a:graphicData>
                </a:graphic>
              </wp:anchor>
            </w:drawing>
          </mc:Choice>
          <mc:Fallback>
            <w:pict>
              <v:shape id="_x0000_s1026" o:spid="_x0000_s1026" o:spt="202" type="#_x0000_t202" style="position:absolute;left:0pt;margin-left:226.45pt;margin-top:9.4pt;height:88.65pt;width:176.45pt;z-index:251662336;v-text-anchor:middle;mso-width-relative:page;mso-height-relative:page;" fillcolor="#FFFFFF" filled="t" stroked="t" coordsize="21600,21600" o:gfxdata="UEsDBAoAAAAAAIdO4kAAAAAAAAAAAAAAAAAEAAAAZHJzL1BLAwQUAAAACACHTuJAaYx3LdUAAAAK&#10;AQAADwAAAGRycy9kb3ducmV2LnhtbE2PzU7EMAyE70i8Q2QkbmzSFVu1pekeQMsRicIDpI1pq02c&#10;qsn+0KfHnOBme0bjb+r91TtxxiVOgTRkGwUCqQ92okHD58fhoQARkyFrXCDU8I0R9s3tTW0qGy70&#10;juc2DYJDKFZGw5jSXEkZ+xG9iZswI7H2FRZvEq/LIO1iLhzundwqlUtvJuIPo5nxecT+2J68hrey&#10;wGF9ib06Hlr/2q0urnmm9f1dpp5AJLymPzP84jM6NMzUhRPZKJyGx922ZCsLBVdgQ6F2PHR8KPMM&#10;ZFPL/xWaH1BLAwQUAAAACACHTuJALppKZCkCAABtBAAADgAAAGRycy9lMm9Eb2MueG1srVTNjtMw&#10;EL4j8Q6W7zRpRKvdqOlKbCkXBEgLDzB1nMSS/7DdJn0BeANOXLjzXH2OHTtt6S4ceiCHZGyPv5nv&#10;m5ks7gYlyY47L4yu6HSSU8I1M7XQbUW/fF6/uqHEB9A1SKN5Rffc07vlyxeL3pa8MJ2RNXcEQbQv&#10;e1vRLgRbZplnHVfgJ8ZyjYeNcQoCLl2b1Q56RFcyK/J8nvXG1dYZxr3H3dV4SI+I7hpA0zSC8ZVh&#10;W8V1GFEdlxCQku+E9XSZsm0azsLHpvE8EFlRZBrSG4OgvYnvbLmAsnVgO8GOKcA1KTzjpEBoDHqG&#10;WkEAsnXiLyglmDPeNGHCjMpGIkkRZDHNn2nz0IHliQtK7e1ZdP//YNmH3SdHRF3ROSUaFBb88OP7&#10;4efvw69vZB7l6a0v0evBol8Y3pgBm+a073Ezsh4ap+IX+RA8R3H3Z3H5EAjDzaJ4nd9OZ5QwPJtO&#10;i9nNbBZxsj/XrfPhHTeKRKOiDquXRIXdex9G15NLjOaNFPVaSJkWrt3cS0d2gJVep+eI/sRNatJX&#10;9HZWxEQA27fBtkFTWZTA6zbFe3LDXwLn6fkXcExsBb4bE6jRil5QKhG4S1bHoX6raxL2FlXWOFw0&#10;5qJ4TYnkOIvRSp4BhLzGE6WTOgbhqdOPIsWCjYWJVhg2A4JGc2PqPRaxx25Hrl+34DAD0KwzOBAs&#10;uNPiPowDsrVOtB0WItU7ixDYhalix4mJbX65RvvyL7F8B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mMdy3VAAAACgEAAA8AAAAAAAAAAQAgAAAAIgAAAGRycy9kb3ducmV2LnhtbFBLAQIUABQAAAAI&#10;AIdO4kAumkpkKQIAAG0EAAAOAAAAAAAAAAEAIAAAACQBAABkcnMvZTJvRG9jLnhtbFBLBQYAAAAA&#10;BgAGAFkBAAC/BQAAAAA=&#10;">
                <v:fill on="t" focussize="0,0"/>
                <v:stroke color="#000000" joinstyle="miter" dashstyle="dash"/>
                <v:imagedata o:title=""/>
                <o:lock v:ext="edit" aspectratio="f"/>
                <v:textbox>
                  <w:txbxContent>
                    <w:p w14:paraId="74F3D2AE">
                      <w:pPr>
                        <w:jc w:val="center"/>
                        <w:rPr>
                          <w:rFonts w:ascii="宋体"/>
                        </w:rPr>
                      </w:pPr>
                    </w:p>
                    <w:p w14:paraId="6EA60895">
                      <w:pPr>
                        <w:jc w:val="center"/>
                        <w:rPr>
                          <w:rFonts w:ascii="宋体"/>
                          <w:sz w:val="28"/>
                          <w:szCs w:val="28"/>
                        </w:rPr>
                      </w:pPr>
                      <w:r>
                        <w:rPr>
                          <w:rFonts w:hint="eastAsia" w:ascii="宋体" w:hAnsi="宋体"/>
                          <w:sz w:val="28"/>
                          <w:szCs w:val="28"/>
                        </w:rPr>
                        <w:t>授权代表身份证复印件</w:t>
                      </w:r>
                    </w:p>
                    <w:p w14:paraId="2500862B">
                      <w:pPr>
                        <w:jc w:val="center"/>
                        <w:rPr>
                          <w:sz w:val="28"/>
                          <w:szCs w:val="28"/>
                        </w:rPr>
                      </w:pPr>
                      <w:r>
                        <w:rPr>
                          <w:rFonts w:hint="eastAsia" w:ascii="宋体" w:hAnsi="宋体"/>
                          <w:sz w:val="28"/>
                          <w:szCs w:val="28"/>
                        </w:rPr>
                        <w:t>（左侧身份证复印件的另一面）</w:t>
                      </w:r>
                    </w:p>
                    <w:p w14:paraId="392A9A29">
                      <w:pPr>
                        <w:jc w:val="center"/>
                        <w:rPr>
                          <w:sz w:val="28"/>
                          <w:szCs w:val="28"/>
                        </w:rPr>
                      </w:pPr>
                    </w:p>
                  </w:txbxContent>
                </v:textbox>
              </v:shape>
            </w:pict>
          </mc:Fallback>
        </mc:AlternateContent>
      </w:r>
      <w:r>
        <w:rPr>
          <w:rFonts w:hint="eastAsia" w:ascii="宋体" w:hAnsi="宋体" w:cs="宋体"/>
          <w:color w:val="000000"/>
          <w:szCs w:val="21"/>
        </w:rPr>
        <mc:AlternateContent>
          <mc:Choice Requires="wps">
            <w:drawing>
              <wp:anchor distT="0" distB="0" distL="114300" distR="114300" simplePos="0" relativeHeight="251661312" behindDoc="0" locked="0" layoutInCell="1" allowOverlap="1">
                <wp:simplePos x="0" y="0"/>
                <wp:positionH relativeFrom="column">
                  <wp:posOffset>388620</wp:posOffset>
                </wp:positionH>
                <wp:positionV relativeFrom="paragraph">
                  <wp:posOffset>117475</wp:posOffset>
                </wp:positionV>
                <wp:extent cx="2240915" cy="1125855"/>
                <wp:effectExtent l="4445" t="4445" r="21590" b="12700"/>
                <wp:wrapNone/>
                <wp:docPr id="8" name="文本框 8"/>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2C8C4DE0">
                            <w:pPr>
                              <w:jc w:val="center"/>
                              <w:rPr>
                                <w:rFonts w:ascii="宋体"/>
                              </w:rPr>
                            </w:pPr>
                          </w:p>
                          <w:p w14:paraId="2B1F575F">
                            <w:pPr>
                              <w:jc w:val="center"/>
                              <w:rPr>
                                <w:rFonts w:ascii="宋体"/>
                                <w:sz w:val="28"/>
                                <w:szCs w:val="28"/>
                              </w:rPr>
                            </w:pPr>
                            <w:r>
                              <w:rPr>
                                <w:rFonts w:hint="eastAsia" w:ascii="宋体" w:hAnsi="宋体"/>
                                <w:sz w:val="28"/>
                                <w:szCs w:val="28"/>
                              </w:rPr>
                              <w:t>授权代表身份证复印件</w:t>
                            </w:r>
                          </w:p>
                          <w:p w14:paraId="1966DCAF">
                            <w:pPr>
                              <w:jc w:val="center"/>
                              <w:rPr>
                                <w:sz w:val="28"/>
                                <w:szCs w:val="28"/>
                              </w:rPr>
                            </w:pPr>
                            <w:r>
                              <w:rPr>
                                <w:rFonts w:hint="eastAsia" w:ascii="宋体" w:hAnsi="宋体"/>
                                <w:sz w:val="28"/>
                                <w:szCs w:val="28"/>
                              </w:rPr>
                              <w:t>（正面或反面）</w:t>
                            </w:r>
                          </w:p>
                          <w:p w14:paraId="4D9326E3">
                            <w:pPr>
                              <w:jc w:val="center"/>
                              <w:rPr>
                                <w:sz w:val="28"/>
                                <w:szCs w:val="28"/>
                              </w:rPr>
                            </w:pPr>
                          </w:p>
                        </w:txbxContent>
                      </wps:txbx>
                      <wps:bodyPr wrap="square" anchor="ctr" anchorCtr="0" upright="1"/>
                    </wps:wsp>
                  </a:graphicData>
                </a:graphic>
              </wp:anchor>
            </w:drawing>
          </mc:Choice>
          <mc:Fallback>
            <w:pict>
              <v:shape id="_x0000_s1026" o:spid="_x0000_s1026" o:spt="202" type="#_x0000_t202" style="position:absolute;left:0pt;margin-left:30.6pt;margin-top:9.25pt;height:88.65pt;width:176.45pt;z-index:251661312;v-text-anchor:middle;mso-width-relative:page;mso-height-relative:page;" fillcolor="#FFFFFF" filled="t" stroked="t" coordsize="21600,21600" o:gfxdata="UEsDBAoAAAAAAIdO4kAAAAAAAAAAAAAAAAAEAAAAZHJzL1BLAwQUAAAACACHTuJAdq2GFtUAAAAJ&#10;AQAADwAAAGRycy9kb3ducmV2LnhtbE2PzU7DMBCE70i8g7VI3Kjtqo3SEKcHUDkiEfoATrwkUeN1&#10;FLs/5OlZTnDcmdHsN+X+5kdxwTkOgQzolQKB1AY3UGfg+Hl4ykHEZMnZMRAa+MYI++r+rrSFC1f6&#10;wEudOsElFAtroE9pKqSMbY/exlWYkNj7CrO3ic+5k262Vy73o1wrlUlvB+IPvZ3wpcf2VJ+9gfdd&#10;jt3yGlt1OtT+rVnGuGTamMcHrZ5BJLylvzD84jM6VMzUhDO5KEYDmV5zkvV8C4L9jd5oEA0Lu20O&#10;sirl/wXVD1BLAwQUAAAACACHTuJA7iHOKSgCAABtBAAADgAAAGRycy9lMm9Eb2MueG1srVTNjtMw&#10;EL4j8Q6W7zRpRVE3aroSW8oFAdLCA0xtJ7HkP2y3SV8A3oATF+481z4HY6ct3YVDD+SQjO3xNzPf&#10;N5Pl7aAV2QsfpDU1nU5KSoRhlkvT1vTzp82LBSUhguGgrBE1PYhAb1fPny17V4mZ7aziwhMEMaHq&#10;XU27GF1VFIF1QkOYWCcMHjbWa4i49G3BPfSIrlUxK8tXRW89d94yEQLursdDekT01wDappFMrC3b&#10;aWHiiOqFgoglhU66QFc526YRLH5omiAiUTXFSmN+YxC0t+ldrJZQtR5cJ9kxBbgmhSc1aZAGg56h&#10;1hCB7Lz8C0pL5m2wTZwwq4uxkMwIVjEtn3Bz34ETuRakOrgz6eH/wbL3+4+eSF5TlN2ARsEfvn97&#10;+PHr4edXskj09C5U6HXv0C8Or+2ATXPaD7iZqh4ar9MX6yF4juQezuSKIRKGm7PZy/JmOqeE4dl0&#10;Opsv5vOEU/y57nyIb4XVJBk19aheJhX270IcXU8uKVqwSvKNVCovfLu9U57sAZXe5OeI/shNGdLX&#10;9GY+S4kAtm+DbYOmdkhBMG2O9+hGuAQu8/Mv4JTYGkI3JsDRSl5QaRmFz1YngL8xnMSDQ5YNDhdN&#10;uWjBKVECZzFZ2TOCVNd4InXKpCAid/qRpCTYKEyy4rAdEDSZW8sPKGKP3Y61ftmBxwzAsM7iQLDo&#10;T4u7OA7IznnZdihE1rtIENiFWbHjxKQ2v1yjffmXWP0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dq2GFtUAAAAJAQAADwAAAAAAAAABACAAAAAiAAAAZHJzL2Rvd25yZXYueG1sUEsBAhQAFAAAAAgA&#10;h07iQO4hzikoAgAAbQQAAA4AAAAAAAAAAQAgAAAAJAEAAGRycy9lMm9Eb2MueG1sUEsFBgAAAAAG&#10;AAYAWQEAAL4FAAAAAA==&#10;">
                <v:fill on="t" focussize="0,0"/>
                <v:stroke color="#000000" joinstyle="miter" dashstyle="dash"/>
                <v:imagedata o:title=""/>
                <o:lock v:ext="edit" aspectratio="f"/>
                <v:textbox>
                  <w:txbxContent>
                    <w:p w14:paraId="2C8C4DE0">
                      <w:pPr>
                        <w:jc w:val="center"/>
                        <w:rPr>
                          <w:rFonts w:ascii="宋体"/>
                        </w:rPr>
                      </w:pPr>
                    </w:p>
                    <w:p w14:paraId="2B1F575F">
                      <w:pPr>
                        <w:jc w:val="center"/>
                        <w:rPr>
                          <w:rFonts w:ascii="宋体"/>
                          <w:sz w:val="28"/>
                          <w:szCs w:val="28"/>
                        </w:rPr>
                      </w:pPr>
                      <w:r>
                        <w:rPr>
                          <w:rFonts w:hint="eastAsia" w:ascii="宋体" w:hAnsi="宋体"/>
                          <w:sz w:val="28"/>
                          <w:szCs w:val="28"/>
                        </w:rPr>
                        <w:t>授权代表身份证复印件</w:t>
                      </w:r>
                    </w:p>
                    <w:p w14:paraId="1966DCAF">
                      <w:pPr>
                        <w:jc w:val="center"/>
                        <w:rPr>
                          <w:sz w:val="28"/>
                          <w:szCs w:val="28"/>
                        </w:rPr>
                      </w:pPr>
                      <w:r>
                        <w:rPr>
                          <w:rFonts w:hint="eastAsia" w:ascii="宋体" w:hAnsi="宋体"/>
                          <w:sz w:val="28"/>
                          <w:szCs w:val="28"/>
                        </w:rPr>
                        <w:t>（正面或反面）</w:t>
                      </w:r>
                    </w:p>
                    <w:p w14:paraId="4D9326E3">
                      <w:pPr>
                        <w:jc w:val="center"/>
                        <w:rPr>
                          <w:sz w:val="28"/>
                          <w:szCs w:val="28"/>
                        </w:rPr>
                      </w:pPr>
                    </w:p>
                  </w:txbxContent>
                </v:textbox>
              </v:shape>
            </w:pict>
          </mc:Fallback>
        </mc:AlternateContent>
      </w:r>
    </w:p>
    <w:p w14:paraId="09CAB1F3">
      <w:pPr>
        <w:spacing w:line="560" w:lineRule="exact"/>
        <w:ind w:firstLine="573"/>
        <w:rPr>
          <w:rFonts w:hint="eastAsia" w:ascii="宋体" w:hAnsi="宋体" w:cs="宋体"/>
          <w:color w:val="000000"/>
          <w:kern w:val="0"/>
          <w:sz w:val="24"/>
        </w:rPr>
      </w:pPr>
    </w:p>
    <w:p w14:paraId="62BD6EEE">
      <w:pPr>
        <w:spacing w:line="560" w:lineRule="exact"/>
        <w:ind w:firstLine="573"/>
        <w:rPr>
          <w:rFonts w:hint="eastAsia" w:ascii="宋体" w:hAnsi="宋体" w:cs="宋体"/>
          <w:color w:val="000000"/>
          <w:kern w:val="0"/>
          <w:sz w:val="24"/>
        </w:rPr>
      </w:pPr>
    </w:p>
    <w:p w14:paraId="05F8EC83">
      <w:pPr>
        <w:spacing w:line="560" w:lineRule="exact"/>
        <w:ind w:firstLine="573"/>
        <w:rPr>
          <w:rFonts w:hint="eastAsia" w:ascii="宋体" w:hAnsi="宋体" w:cs="宋体"/>
          <w:color w:val="000000"/>
          <w:kern w:val="0"/>
          <w:sz w:val="24"/>
        </w:rPr>
      </w:pPr>
    </w:p>
    <w:p w14:paraId="756B5F50">
      <w:pPr>
        <w:snapToGrid w:val="0"/>
        <w:spacing w:line="360" w:lineRule="auto"/>
        <w:rPr>
          <w:rFonts w:hint="eastAsia" w:ascii="宋体" w:hAnsi="宋体" w:cs="宋体"/>
          <w:b/>
          <w:bCs/>
          <w:sz w:val="24"/>
        </w:rPr>
      </w:pPr>
    </w:p>
    <w:p w14:paraId="32F10A71">
      <w:pPr>
        <w:snapToGrid w:val="0"/>
        <w:spacing w:line="360" w:lineRule="auto"/>
        <w:rPr>
          <w:rFonts w:hint="eastAsia" w:ascii="宋体" w:hAnsi="宋体" w:cs="宋体"/>
          <w:b/>
          <w:bCs/>
          <w:sz w:val="24"/>
        </w:rPr>
      </w:pPr>
    </w:p>
    <w:p w14:paraId="6A3E02DB">
      <w:pPr>
        <w:snapToGrid w:val="0"/>
        <w:spacing w:line="360" w:lineRule="auto"/>
        <w:rPr>
          <w:rFonts w:hint="eastAsia" w:ascii="宋体" w:hAnsi="宋体" w:cs="宋体"/>
          <w:b/>
          <w:bCs/>
          <w:sz w:val="24"/>
        </w:rPr>
      </w:pPr>
    </w:p>
    <w:p w14:paraId="61F8083E">
      <w:pPr>
        <w:snapToGrid w:val="0"/>
        <w:spacing w:line="360" w:lineRule="auto"/>
        <w:rPr>
          <w:rFonts w:hint="eastAsia" w:ascii="宋体" w:hAnsi="宋体" w:cs="宋体"/>
          <w:b/>
          <w:bCs/>
          <w:sz w:val="24"/>
        </w:rPr>
      </w:pPr>
    </w:p>
    <w:p w14:paraId="4B215E76">
      <w:pPr>
        <w:snapToGrid w:val="0"/>
        <w:spacing w:line="360" w:lineRule="auto"/>
        <w:rPr>
          <w:rFonts w:hint="eastAsia" w:ascii="宋体" w:hAnsi="宋体" w:cs="宋体"/>
          <w:b/>
          <w:bCs/>
          <w:sz w:val="24"/>
        </w:rPr>
      </w:pPr>
    </w:p>
    <w:p w14:paraId="4A404D35">
      <w:pPr>
        <w:snapToGrid w:val="0"/>
        <w:spacing w:line="360" w:lineRule="auto"/>
        <w:rPr>
          <w:rFonts w:hint="eastAsia" w:ascii="宋体" w:hAnsi="宋体" w:cs="宋体"/>
          <w:b/>
          <w:bCs/>
          <w:sz w:val="24"/>
        </w:rPr>
      </w:pPr>
    </w:p>
    <w:p w14:paraId="46C3431F">
      <w:pPr>
        <w:snapToGrid w:val="0"/>
        <w:spacing w:line="360" w:lineRule="auto"/>
        <w:rPr>
          <w:rFonts w:hint="eastAsia" w:ascii="宋体" w:hAnsi="宋体" w:cs="宋体"/>
          <w:b/>
          <w:bCs/>
          <w:sz w:val="24"/>
        </w:rPr>
      </w:pPr>
    </w:p>
    <w:p w14:paraId="50E63233">
      <w:pPr>
        <w:adjustRightInd w:val="0"/>
        <w:snapToGrid w:val="0"/>
        <w:spacing w:line="360" w:lineRule="auto"/>
        <w:jc w:val="center"/>
        <w:rPr>
          <w:rFonts w:hint="eastAsia" w:ascii="宋体" w:hAnsi="宋体" w:cs="宋体"/>
          <w:b/>
          <w:bCs/>
          <w:sz w:val="30"/>
          <w:szCs w:val="30"/>
        </w:rPr>
      </w:pPr>
    </w:p>
    <w:p w14:paraId="6159D70E">
      <w:pPr>
        <w:spacing w:line="360" w:lineRule="auto"/>
        <w:jc w:val="center"/>
        <w:rPr>
          <w:rFonts w:hint="eastAsia" w:ascii="宋体" w:hAnsi="宋体" w:cs="宋体"/>
          <w:b/>
          <w:bCs/>
          <w:sz w:val="44"/>
          <w:szCs w:val="44"/>
        </w:rPr>
      </w:pPr>
      <w:r>
        <w:rPr>
          <w:rFonts w:hint="eastAsia" w:ascii="宋体" w:hAnsi="宋体" w:cs="宋体"/>
          <w:b/>
          <w:sz w:val="30"/>
          <w:szCs w:val="30"/>
        </w:rPr>
        <w:t>声明函</w:t>
      </w:r>
      <w:r>
        <w:rPr>
          <w:rFonts w:hint="eastAsia" w:ascii="宋体" w:hAnsi="宋体" w:cs="宋体"/>
          <w:b/>
          <w:bCs/>
          <w:sz w:val="24"/>
          <w:szCs w:val="21"/>
        </w:rPr>
        <w:t xml:space="preserve">               </w:t>
      </w:r>
      <w:r>
        <w:rPr>
          <w:rFonts w:hint="eastAsia" w:ascii="宋体" w:hAnsi="宋体" w:cs="宋体"/>
          <w:b/>
          <w:bCs/>
          <w:sz w:val="44"/>
          <w:szCs w:val="44"/>
        </w:rPr>
        <w:t xml:space="preserve">   </w:t>
      </w:r>
    </w:p>
    <w:p w14:paraId="4F4D05A7">
      <w:pPr>
        <w:spacing w:line="360" w:lineRule="auto"/>
        <w:ind w:firstLine="480" w:firstLineChars="200"/>
        <w:rPr>
          <w:rFonts w:hint="eastAsia" w:ascii="宋体" w:hAnsi="宋体" w:cs="宋体"/>
          <w:b/>
          <w:bCs/>
          <w:sz w:val="24"/>
        </w:rPr>
      </w:pPr>
      <w:r>
        <w:rPr>
          <w:rFonts w:hint="eastAsia" w:ascii="宋体" w:hAnsi="宋体" w:cs="宋体"/>
          <w:bCs/>
          <w:sz w:val="24"/>
        </w:rPr>
        <w:t>我单位参加</w:t>
      </w:r>
      <w:r>
        <w:rPr>
          <w:rFonts w:hint="eastAsia" w:ascii="宋体" w:hAnsi="宋体" w:cs="宋体"/>
          <w:bCs/>
          <w:sz w:val="24"/>
          <w:u w:val="single"/>
        </w:rPr>
        <w:t>（项目名称）</w:t>
      </w:r>
      <w:r>
        <w:rPr>
          <w:rFonts w:hint="eastAsia" w:ascii="宋体" w:hAnsi="宋体" w:cs="宋体"/>
          <w:bCs/>
          <w:sz w:val="24"/>
          <w:szCs w:val="21"/>
        </w:rPr>
        <w:t>投标活动。针对相关规定</w:t>
      </w:r>
      <w:r>
        <w:rPr>
          <w:rFonts w:hint="eastAsia" w:ascii="宋体" w:hAnsi="宋体" w:cs="宋体"/>
          <w:bCs/>
          <w:sz w:val="24"/>
          <w:szCs w:val="21"/>
          <w:lang w:eastAsia="zh-CN"/>
        </w:rPr>
        <w:t>作出</w:t>
      </w:r>
      <w:r>
        <w:rPr>
          <w:rFonts w:hint="eastAsia" w:ascii="宋体" w:hAnsi="宋体" w:cs="宋体"/>
          <w:bCs/>
          <w:sz w:val="24"/>
          <w:szCs w:val="21"/>
        </w:rPr>
        <w:t>如下声明：</w:t>
      </w:r>
    </w:p>
    <w:p w14:paraId="25169178">
      <w:pPr>
        <w:spacing w:line="360" w:lineRule="auto"/>
        <w:ind w:firstLine="482"/>
        <w:rPr>
          <w:rFonts w:hint="eastAsia" w:ascii="宋体" w:hAnsi="宋体" w:cs="宋体"/>
          <w:sz w:val="24"/>
        </w:rPr>
      </w:pPr>
      <w:r>
        <w:rPr>
          <w:rFonts w:hint="eastAsia" w:ascii="宋体" w:hAnsi="宋体" w:cs="宋体"/>
          <w:bCs/>
          <w:sz w:val="24"/>
          <w:szCs w:val="21"/>
        </w:rPr>
        <w:t>1.我单位具有独立承担民事责任的能力；</w:t>
      </w:r>
    </w:p>
    <w:p w14:paraId="73698444">
      <w:pPr>
        <w:spacing w:line="360" w:lineRule="auto"/>
        <w:ind w:firstLine="482"/>
        <w:rPr>
          <w:rFonts w:hint="eastAsia" w:ascii="宋体" w:hAnsi="宋体" w:cs="宋体"/>
          <w:sz w:val="24"/>
        </w:rPr>
      </w:pPr>
      <w:r>
        <w:rPr>
          <w:rFonts w:hint="eastAsia" w:ascii="宋体" w:hAnsi="宋体" w:cs="宋体"/>
          <w:sz w:val="24"/>
        </w:rPr>
        <w:t>2.我单位具有良好的商业信誉和健全的财务会计制度；</w:t>
      </w:r>
    </w:p>
    <w:p w14:paraId="14793311">
      <w:pPr>
        <w:spacing w:line="360" w:lineRule="auto"/>
        <w:ind w:firstLine="482"/>
        <w:rPr>
          <w:rFonts w:hint="eastAsia" w:ascii="宋体" w:hAnsi="宋体" w:cs="宋体"/>
          <w:sz w:val="24"/>
        </w:rPr>
      </w:pPr>
      <w:r>
        <w:rPr>
          <w:rFonts w:hint="eastAsia" w:ascii="宋体" w:hAnsi="宋体" w:cs="宋体"/>
          <w:sz w:val="24"/>
        </w:rPr>
        <w:t>3.我单位具有履行合同所必需的设备和专业技术能力；</w:t>
      </w:r>
    </w:p>
    <w:p w14:paraId="2454F17B">
      <w:pPr>
        <w:spacing w:line="360" w:lineRule="auto"/>
        <w:ind w:firstLine="482"/>
        <w:rPr>
          <w:rFonts w:hint="eastAsia" w:ascii="宋体" w:hAnsi="宋体" w:cs="宋体"/>
          <w:sz w:val="24"/>
        </w:rPr>
      </w:pPr>
      <w:r>
        <w:rPr>
          <w:rFonts w:hint="eastAsia" w:ascii="宋体" w:hAnsi="宋体" w:cs="宋体"/>
          <w:sz w:val="24"/>
        </w:rPr>
        <w:t>4.我单位有依法缴纳税收和社会保障资金的良好记录；</w:t>
      </w:r>
    </w:p>
    <w:p w14:paraId="53BB96A2">
      <w:pPr>
        <w:spacing w:line="360" w:lineRule="auto"/>
        <w:ind w:firstLine="482"/>
        <w:rPr>
          <w:rFonts w:hint="eastAsia" w:ascii="宋体" w:hAnsi="宋体" w:cs="宋体"/>
          <w:sz w:val="24"/>
        </w:rPr>
      </w:pPr>
      <w:r>
        <w:rPr>
          <w:rFonts w:hint="eastAsia" w:ascii="宋体" w:hAnsi="宋体" w:cs="宋体"/>
          <w:sz w:val="24"/>
        </w:rPr>
        <w:t>5.我单位参加采购活动前三年内，在经营活动中没有重大违法记录；</w:t>
      </w:r>
    </w:p>
    <w:p w14:paraId="39414302">
      <w:pPr>
        <w:spacing w:line="360" w:lineRule="auto"/>
        <w:ind w:firstLine="482"/>
        <w:rPr>
          <w:rFonts w:hint="eastAsia" w:ascii="宋体" w:hAnsi="宋体" w:eastAsia="宋体" w:cs="宋体"/>
          <w:sz w:val="24"/>
          <w:lang w:eastAsia="zh-CN"/>
        </w:rPr>
      </w:pPr>
      <w:r>
        <w:rPr>
          <w:rFonts w:hint="eastAsia" w:ascii="宋体" w:hAnsi="宋体" w:cs="宋体"/>
          <w:sz w:val="24"/>
          <w:lang w:val="en-US" w:eastAsia="zh-CN"/>
        </w:rPr>
        <w:t>6.参加采购活动前一年内，未被住建、消防救援机构等主管部门进行金额处罚的；</w:t>
      </w:r>
    </w:p>
    <w:p w14:paraId="5CA2A566">
      <w:pPr>
        <w:spacing w:line="360" w:lineRule="auto"/>
        <w:ind w:firstLine="482"/>
        <w:rPr>
          <w:rFonts w:hint="eastAsia" w:ascii="宋体" w:hAnsi="宋体" w:cs="宋体"/>
          <w:sz w:val="24"/>
        </w:rPr>
      </w:pPr>
      <w:r>
        <w:rPr>
          <w:rFonts w:hint="eastAsia" w:ascii="宋体" w:hAnsi="宋体" w:cs="宋体"/>
          <w:sz w:val="24"/>
          <w:lang w:eastAsia="zh-CN"/>
        </w:rPr>
        <w:t>7</w:t>
      </w:r>
      <w:r>
        <w:rPr>
          <w:rFonts w:hint="eastAsia" w:ascii="宋体" w:hAnsi="宋体" w:cs="宋体"/>
          <w:sz w:val="24"/>
        </w:rPr>
        <w:t>.我单位满足法律、行政法规规定的其他条件。</w:t>
      </w:r>
    </w:p>
    <w:p w14:paraId="1DB2D1F7">
      <w:pPr>
        <w:spacing w:line="360" w:lineRule="auto"/>
        <w:rPr>
          <w:rFonts w:hint="eastAsia" w:ascii="宋体" w:hAnsi="宋体" w:cs="宋体"/>
          <w:sz w:val="24"/>
        </w:rPr>
      </w:pPr>
    </w:p>
    <w:p w14:paraId="5E02566F">
      <w:pPr>
        <w:spacing w:line="360" w:lineRule="auto"/>
        <w:rPr>
          <w:rFonts w:hint="eastAsia" w:ascii="宋体" w:hAnsi="宋体" w:cs="宋体"/>
          <w:bCs/>
          <w:sz w:val="24"/>
          <w:szCs w:val="21"/>
        </w:rPr>
      </w:pPr>
    </w:p>
    <w:p w14:paraId="3B5341AC">
      <w:pPr>
        <w:spacing w:line="360" w:lineRule="auto"/>
        <w:jc w:val="center"/>
        <w:rPr>
          <w:rFonts w:hint="eastAsia" w:ascii="宋体" w:hAnsi="宋体" w:cs="宋体"/>
          <w:bCs/>
          <w:sz w:val="24"/>
          <w:szCs w:val="21"/>
        </w:rPr>
      </w:pPr>
      <w:r>
        <w:rPr>
          <w:rFonts w:hint="eastAsia" w:ascii="宋体" w:hAnsi="宋体" w:cs="宋体"/>
          <w:bCs/>
          <w:sz w:val="24"/>
          <w:szCs w:val="21"/>
        </w:rPr>
        <w:t xml:space="preserve">                                             承诺人名称（公章）：</w:t>
      </w:r>
    </w:p>
    <w:p w14:paraId="729E056C">
      <w:pPr>
        <w:spacing w:line="360" w:lineRule="auto"/>
        <w:jc w:val="right"/>
        <w:rPr>
          <w:rFonts w:hint="eastAsia" w:ascii="宋体" w:hAnsi="宋体" w:cs="宋体"/>
          <w:bCs/>
          <w:sz w:val="24"/>
          <w:szCs w:val="21"/>
        </w:rPr>
      </w:pPr>
      <w:r>
        <w:rPr>
          <w:rFonts w:hint="eastAsia" w:ascii="宋体" w:hAnsi="宋体" w:cs="宋体"/>
          <w:bCs/>
          <w:sz w:val="24"/>
          <w:szCs w:val="21"/>
        </w:rPr>
        <w:t xml:space="preserve">    </w:t>
      </w:r>
    </w:p>
    <w:p w14:paraId="04D6893D">
      <w:pPr>
        <w:spacing w:line="360" w:lineRule="auto"/>
        <w:jc w:val="right"/>
        <w:rPr>
          <w:rFonts w:hint="eastAsia" w:ascii="宋体" w:hAnsi="宋体" w:cs="宋体"/>
          <w:bCs/>
          <w:sz w:val="24"/>
          <w:szCs w:val="21"/>
        </w:rPr>
      </w:pPr>
      <w:r>
        <w:rPr>
          <w:rFonts w:hint="eastAsia" w:ascii="宋体" w:hAnsi="宋体" w:cs="宋体"/>
          <w:bCs/>
          <w:sz w:val="24"/>
          <w:szCs w:val="21"/>
        </w:rPr>
        <w:t xml:space="preserve">                                 日期：</w:t>
      </w:r>
      <w:r>
        <w:rPr>
          <w:rFonts w:hint="eastAsia" w:ascii="宋体" w:hAnsi="宋体" w:cs="宋体"/>
          <w:bCs/>
          <w:sz w:val="24"/>
          <w:szCs w:val="21"/>
          <w:u w:val="single"/>
        </w:rPr>
        <w:t xml:space="preserve">  </w:t>
      </w:r>
      <w:r>
        <w:rPr>
          <w:rFonts w:hint="eastAsia" w:ascii="宋体" w:hAnsi="宋体" w:cs="宋体"/>
          <w:bCs/>
          <w:sz w:val="24"/>
          <w:szCs w:val="21"/>
        </w:rPr>
        <w:t>年</w:t>
      </w:r>
      <w:r>
        <w:rPr>
          <w:rFonts w:hint="eastAsia" w:ascii="宋体" w:hAnsi="宋体" w:cs="宋体"/>
          <w:bCs/>
          <w:sz w:val="24"/>
          <w:szCs w:val="21"/>
          <w:u w:val="single"/>
        </w:rPr>
        <w:t xml:space="preserve">  </w:t>
      </w:r>
      <w:r>
        <w:rPr>
          <w:rFonts w:hint="eastAsia" w:ascii="宋体" w:hAnsi="宋体" w:cs="宋体"/>
          <w:bCs/>
          <w:sz w:val="24"/>
          <w:szCs w:val="21"/>
        </w:rPr>
        <w:t>月</w:t>
      </w:r>
      <w:r>
        <w:rPr>
          <w:rFonts w:hint="eastAsia" w:ascii="宋体" w:hAnsi="宋体" w:cs="宋体"/>
          <w:bCs/>
          <w:sz w:val="24"/>
          <w:szCs w:val="21"/>
          <w:u w:val="single"/>
        </w:rPr>
        <w:t xml:space="preserve">  </w:t>
      </w:r>
      <w:r>
        <w:rPr>
          <w:rFonts w:hint="eastAsia" w:ascii="宋体" w:hAnsi="宋体" w:cs="宋体"/>
          <w:bCs/>
          <w:sz w:val="24"/>
          <w:szCs w:val="21"/>
        </w:rPr>
        <w:t>日</w:t>
      </w:r>
    </w:p>
    <w:p w14:paraId="5759EF3D">
      <w:pPr>
        <w:spacing w:line="360" w:lineRule="auto"/>
        <w:rPr>
          <w:rFonts w:hint="eastAsia" w:ascii="宋体" w:hAnsi="宋体" w:cs="宋体"/>
          <w:sz w:val="24"/>
        </w:rPr>
      </w:pPr>
    </w:p>
    <w:p w14:paraId="06B2B7B1">
      <w:pPr>
        <w:pStyle w:val="13"/>
        <w:rPr>
          <w:rFonts w:hint="eastAsia" w:ascii="宋体" w:hAnsi="宋体" w:eastAsia="宋体" w:cs="宋体"/>
          <w:sz w:val="24"/>
        </w:rPr>
      </w:pPr>
    </w:p>
    <w:p w14:paraId="5255086F">
      <w:pPr>
        <w:rPr>
          <w:rFonts w:hint="eastAsia" w:ascii="宋体" w:hAnsi="宋体" w:cs="宋体"/>
          <w:sz w:val="24"/>
        </w:rPr>
      </w:pPr>
    </w:p>
    <w:p w14:paraId="42EF1D8A">
      <w:pPr>
        <w:tabs>
          <w:tab w:val="left" w:pos="2070"/>
          <w:tab w:val="center" w:pos="4431"/>
        </w:tabs>
        <w:spacing w:line="360" w:lineRule="auto"/>
        <w:ind w:right="480"/>
        <w:jc w:val="center"/>
        <w:rPr>
          <w:rFonts w:hint="eastAsia" w:ascii="宋体" w:hAnsi="宋体" w:cs="宋体"/>
          <w:b/>
          <w:bCs/>
          <w:sz w:val="30"/>
          <w:szCs w:val="30"/>
        </w:rPr>
      </w:pPr>
      <w:r>
        <w:rPr>
          <w:rFonts w:hint="eastAsia" w:ascii="宋体" w:hAnsi="宋体" w:cs="宋体"/>
          <w:b/>
          <w:bCs/>
          <w:sz w:val="30"/>
          <w:szCs w:val="30"/>
        </w:rPr>
        <w:br w:type="page"/>
      </w:r>
      <w:r>
        <w:rPr>
          <w:rFonts w:hint="eastAsia" w:ascii="宋体" w:hAnsi="宋体" w:cs="宋体"/>
          <w:b/>
          <w:bCs/>
          <w:sz w:val="30"/>
          <w:szCs w:val="30"/>
        </w:rPr>
        <w:t>第二部分  技术标文件主要内容</w:t>
      </w:r>
    </w:p>
    <w:p w14:paraId="74C56B12">
      <w:pPr>
        <w:spacing w:line="360" w:lineRule="auto"/>
        <w:ind w:firstLine="480" w:firstLineChars="200"/>
        <w:rPr>
          <w:rFonts w:hint="eastAsia" w:ascii="宋体" w:hAnsi="宋体" w:cs="宋体"/>
          <w:sz w:val="24"/>
        </w:rPr>
      </w:pPr>
      <w:r>
        <w:rPr>
          <w:rFonts w:hint="eastAsia" w:ascii="宋体" w:hAnsi="宋体" w:cs="宋体"/>
          <w:sz w:val="24"/>
          <w:lang w:eastAsia="zh-CN"/>
        </w:rPr>
        <w:t>1.</w:t>
      </w:r>
      <w:r>
        <w:rPr>
          <w:rFonts w:hint="eastAsia" w:ascii="宋体" w:hAnsi="宋体" w:cs="宋体"/>
          <w:sz w:val="24"/>
        </w:rPr>
        <w:t>评标办法中所涉及的事项需提供的所有资料；</w:t>
      </w:r>
    </w:p>
    <w:p w14:paraId="71C17D52">
      <w:pPr>
        <w:spacing w:line="360" w:lineRule="auto"/>
        <w:ind w:firstLine="480" w:firstLineChars="200"/>
        <w:rPr>
          <w:rFonts w:hint="eastAsia" w:ascii="宋体" w:hAnsi="宋体" w:cs="宋体"/>
          <w:sz w:val="24"/>
        </w:rPr>
      </w:pPr>
      <w:r>
        <w:rPr>
          <w:rFonts w:hint="eastAsia" w:ascii="宋体" w:hAnsi="宋体" w:cs="宋体"/>
          <w:sz w:val="24"/>
          <w:lang w:eastAsia="zh-CN"/>
        </w:rPr>
        <w:t>2.</w:t>
      </w:r>
      <w:r>
        <w:rPr>
          <w:rFonts w:hint="eastAsia" w:ascii="宋体" w:hAnsi="宋体" w:cs="宋体"/>
          <w:sz w:val="24"/>
        </w:rPr>
        <w:t>评标办法中未涉及的事项，投标供应商认为需要提交的其他资料；</w:t>
      </w:r>
    </w:p>
    <w:p w14:paraId="40907288">
      <w:pPr>
        <w:spacing w:line="360" w:lineRule="auto"/>
        <w:ind w:firstLine="480" w:firstLineChars="200"/>
        <w:rPr>
          <w:rFonts w:hint="eastAsia" w:ascii="宋体" w:hAnsi="宋体" w:cs="宋体"/>
          <w:sz w:val="24"/>
        </w:rPr>
      </w:pPr>
      <w:r>
        <w:rPr>
          <w:rFonts w:hint="eastAsia" w:ascii="宋体" w:hAnsi="宋体" w:cs="宋体"/>
          <w:sz w:val="24"/>
          <w:lang w:eastAsia="zh-CN"/>
        </w:rPr>
        <w:t>3.</w:t>
      </w:r>
      <w:r>
        <w:rPr>
          <w:rFonts w:hint="eastAsia" w:ascii="宋体" w:hAnsi="宋体" w:cs="宋体"/>
          <w:sz w:val="24"/>
        </w:rPr>
        <w:t>采购文件中要求提供的其他材料（如有）。</w:t>
      </w:r>
    </w:p>
    <w:p w14:paraId="7FBCF35E">
      <w:pPr>
        <w:spacing w:line="360" w:lineRule="auto"/>
        <w:ind w:firstLine="480" w:firstLineChars="200"/>
        <w:rPr>
          <w:rFonts w:hint="eastAsia" w:ascii="宋体" w:hAnsi="宋体" w:cs="宋体"/>
          <w:sz w:val="24"/>
        </w:rPr>
      </w:pPr>
    </w:p>
    <w:p w14:paraId="65897B88">
      <w:pPr>
        <w:tabs>
          <w:tab w:val="left" w:pos="3375"/>
        </w:tabs>
        <w:adjustRightInd w:val="0"/>
        <w:snapToGrid w:val="0"/>
        <w:spacing w:line="360" w:lineRule="auto"/>
        <w:ind w:firstLine="600" w:firstLineChars="200"/>
        <w:jc w:val="center"/>
        <w:rPr>
          <w:rFonts w:hint="eastAsia" w:ascii="宋体" w:hAnsi="宋体" w:cs="宋体"/>
          <w:sz w:val="30"/>
          <w:szCs w:val="30"/>
        </w:rPr>
      </w:pPr>
    </w:p>
    <w:p w14:paraId="2FC83429">
      <w:pPr>
        <w:tabs>
          <w:tab w:val="left" w:pos="3375"/>
        </w:tabs>
        <w:adjustRightInd w:val="0"/>
        <w:snapToGrid w:val="0"/>
        <w:spacing w:line="360" w:lineRule="auto"/>
        <w:ind w:firstLine="600" w:firstLineChars="200"/>
        <w:jc w:val="center"/>
        <w:rPr>
          <w:rFonts w:hint="eastAsia" w:ascii="宋体" w:hAnsi="宋体" w:cs="宋体"/>
          <w:sz w:val="30"/>
          <w:szCs w:val="30"/>
        </w:rPr>
      </w:pPr>
    </w:p>
    <w:p w14:paraId="523CD473">
      <w:pPr>
        <w:tabs>
          <w:tab w:val="left" w:pos="3375"/>
        </w:tabs>
        <w:adjustRightInd w:val="0"/>
        <w:snapToGrid w:val="0"/>
        <w:spacing w:line="360" w:lineRule="auto"/>
        <w:ind w:firstLine="600" w:firstLineChars="200"/>
        <w:jc w:val="center"/>
        <w:rPr>
          <w:rFonts w:hint="eastAsia" w:ascii="宋体" w:hAnsi="宋体" w:cs="宋体"/>
          <w:sz w:val="30"/>
          <w:szCs w:val="30"/>
        </w:rPr>
      </w:pPr>
    </w:p>
    <w:p w14:paraId="1E656AE9">
      <w:pPr>
        <w:tabs>
          <w:tab w:val="left" w:pos="3375"/>
        </w:tabs>
        <w:adjustRightInd w:val="0"/>
        <w:snapToGrid w:val="0"/>
        <w:spacing w:line="360" w:lineRule="auto"/>
        <w:ind w:firstLine="600" w:firstLineChars="200"/>
        <w:jc w:val="center"/>
        <w:rPr>
          <w:rFonts w:hint="eastAsia" w:ascii="宋体" w:hAnsi="宋体" w:cs="宋体"/>
          <w:sz w:val="30"/>
          <w:szCs w:val="30"/>
        </w:rPr>
      </w:pPr>
    </w:p>
    <w:p w14:paraId="3F655BA9">
      <w:pPr>
        <w:tabs>
          <w:tab w:val="left" w:pos="3375"/>
        </w:tabs>
        <w:adjustRightInd w:val="0"/>
        <w:snapToGrid w:val="0"/>
        <w:spacing w:line="360" w:lineRule="auto"/>
        <w:ind w:firstLine="600" w:firstLineChars="200"/>
        <w:jc w:val="center"/>
        <w:rPr>
          <w:rFonts w:hint="eastAsia" w:ascii="宋体" w:hAnsi="宋体" w:cs="宋体"/>
          <w:sz w:val="30"/>
          <w:szCs w:val="30"/>
        </w:rPr>
      </w:pPr>
    </w:p>
    <w:p w14:paraId="7000AAA0">
      <w:pPr>
        <w:tabs>
          <w:tab w:val="left" w:pos="3375"/>
        </w:tabs>
        <w:adjustRightInd w:val="0"/>
        <w:snapToGrid w:val="0"/>
        <w:spacing w:line="360" w:lineRule="auto"/>
        <w:ind w:firstLine="600" w:firstLineChars="200"/>
        <w:jc w:val="center"/>
        <w:rPr>
          <w:rFonts w:hint="eastAsia" w:ascii="宋体" w:hAnsi="宋体" w:cs="宋体"/>
          <w:sz w:val="30"/>
          <w:szCs w:val="30"/>
        </w:rPr>
      </w:pPr>
    </w:p>
    <w:p w14:paraId="094A3D04">
      <w:pPr>
        <w:tabs>
          <w:tab w:val="left" w:pos="3375"/>
        </w:tabs>
        <w:adjustRightInd w:val="0"/>
        <w:snapToGrid w:val="0"/>
        <w:spacing w:line="360" w:lineRule="auto"/>
        <w:ind w:firstLine="600" w:firstLineChars="200"/>
        <w:jc w:val="center"/>
        <w:rPr>
          <w:rFonts w:hint="eastAsia" w:ascii="宋体" w:hAnsi="宋体" w:cs="宋体"/>
          <w:sz w:val="30"/>
          <w:szCs w:val="30"/>
        </w:rPr>
      </w:pPr>
    </w:p>
    <w:p w14:paraId="7C80C270">
      <w:pPr>
        <w:tabs>
          <w:tab w:val="left" w:pos="3375"/>
        </w:tabs>
        <w:adjustRightInd w:val="0"/>
        <w:snapToGrid w:val="0"/>
        <w:spacing w:line="360" w:lineRule="auto"/>
        <w:ind w:firstLine="600" w:firstLineChars="200"/>
        <w:jc w:val="center"/>
        <w:rPr>
          <w:rFonts w:hint="eastAsia" w:ascii="宋体" w:hAnsi="宋体" w:cs="宋体"/>
          <w:sz w:val="30"/>
          <w:szCs w:val="30"/>
        </w:rPr>
      </w:pPr>
    </w:p>
    <w:p w14:paraId="2A53FA4F">
      <w:pPr>
        <w:tabs>
          <w:tab w:val="left" w:pos="3375"/>
        </w:tabs>
        <w:adjustRightInd w:val="0"/>
        <w:snapToGrid w:val="0"/>
        <w:spacing w:line="360" w:lineRule="auto"/>
        <w:ind w:firstLine="600" w:firstLineChars="200"/>
        <w:jc w:val="center"/>
        <w:rPr>
          <w:rFonts w:hint="eastAsia" w:ascii="宋体" w:hAnsi="宋体" w:cs="宋体"/>
          <w:sz w:val="30"/>
          <w:szCs w:val="30"/>
        </w:rPr>
      </w:pPr>
    </w:p>
    <w:p w14:paraId="373EB9F1">
      <w:pPr>
        <w:tabs>
          <w:tab w:val="left" w:pos="3375"/>
        </w:tabs>
        <w:adjustRightInd w:val="0"/>
        <w:snapToGrid w:val="0"/>
        <w:spacing w:line="360" w:lineRule="auto"/>
        <w:ind w:firstLine="600" w:firstLineChars="200"/>
        <w:jc w:val="center"/>
        <w:rPr>
          <w:rFonts w:hint="eastAsia" w:ascii="宋体" w:hAnsi="宋体" w:cs="宋体"/>
          <w:sz w:val="30"/>
          <w:szCs w:val="30"/>
        </w:rPr>
      </w:pPr>
    </w:p>
    <w:p w14:paraId="5B3D0C39">
      <w:pPr>
        <w:tabs>
          <w:tab w:val="left" w:pos="3375"/>
        </w:tabs>
        <w:adjustRightInd w:val="0"/>
        <w:snapToGrid w:val="0"/>
        <w:spacing w:line="360" w:lineRule="auto"/>
        <w:ind w:firstLine="600" w:firstLineChars="200"/>
        <w:jc w:val="center"/>
        <w:rPr>
          <w:rFonts w:hint="eastAsia" w:ascii="宋体" w:hAnsi="宋体" w:cs="宋体"/>
          <w:sz w:val="30"/>
          <w:szCs w:val="30"/>
        </w:rPr>
      </w:pPr>
    </w:p>
    <w:p w14:paraId="74AA5399">
      <w:pPr>
        <w:tabs>
          <w:tab w:val="left" w:pos="3375"/>
        </w:tabs>
        <w:adjustRightInd w:val="0"/>
        <w:snapToGrid w:val="0"/>
        <w:spacing w:line="360" w:lineRule="auto"/>
        <w:ind w:firstLine="600" w:firstLineChars="200"/>
        <w:jc w:val="center"/>
        <w:rPr>
          <w:rFonts w:hint="eastAsia" w:ascii="宋体" w:hAnsi="宋体" w:cs="宋体"/>
          <w:sz w:val="30"/>
          <w:szCs w:val="30"/>
        </w:rPr>
      </w:pPr>
    </w:p>
    <w:p w14:paraId="2DBC3C89">
      <w:pPr>
        <w:tabs>
          <w:tab w:val="left" w:pos="3375"/>
        </w:tabs>
        <w:adjustRightInd w:val="0"/>
        <w:snapToGrid w:val="0"/>
        <w:spacing w:line="360" w:lineRule="auto"/>
        <w:ind w:firstLine="600" w:firstLineChars="200"/>
        <w:jc w:val="center"/>
        <w:rPr>
          <w:rFonts w:hint="eastAsia" w:ascii="宋体" w:hAnsi="宋体" w:cs="宋体"/>
          <w:sz w:val="30"/>
          <w:szCs w:val="30"/>
        </w:rPr>
      </w:pPr>
    </w:p>
    <w:p w14:paraId="705E7592">
      <w:pPr>
        <w:tabs>
          <w:tab w:val="left" w:pos="3375"/>
        </w:tabs>
        <w:adjustRightInd w:val="0"/>
        <w:snapToGrid w:val="0"/>
        <w:spacing w:line="360" w:lineRule="auto"/>
        <w:ind w:firstLine="600" w:firstLineChars="200"/>
        <w:jc w:val="center"/>
        <w:rPr>
          <w:rFonts w:hint="eastAsia" w:ascii="宋体" w:hAnsi="宋体" w:cs="宋体"/>
          <w:sz w:val="30"/>
          <w:szCs w:val="30"/>
        </w:rPr>
      </w:pPr>
    </w:p>
    <w:p w14:paraId="04FD0645">
      <w:pPr>
        <w:tabs>
          <w:tab w:val="left" w:pos="3375"/>
        </w:tabs>
        <w:adjustRightInd w:val="0"/>
        <w:snapToGrid w:val="0"/>
        <w:spacing w:line="360" w:lineRule="auto"/>
        <w:ind w:firstLine="600" w:firstLineChars="200"/>
        <w:jc w:val="center"/>
        <w:rPr>
          <w:rFonts w:hint="eastAsia" w:ascii="宋体" w:hAnsi="宋体" w:cs="宋体"/>
          <w:sz w:val="30"/>
          <w:szCs w:val="30"/>
        </w:rPr>
      </w:pPr>
    </w:p>
    <w:p w14:paraId="1BECE06B">
      <w:pPr>
        <w:pStyle w:val="14"/>
        <w:rPr>
          <w:rFonts w:hint="eastAsia" w:ascii="宋体" w:hAnsi="宋体" w:eastAsia="宋体" w:cs="宋体"/>
        </w:rPr>
      </w:pPr>
    </w:p>
    <w:p w14:paraId="1944AA19">
      <w:pPr>
        <w:pStyle w:val="23"/>
        <w:rPr>
          <w:rFonts w:hint="eastAsia" w:ascii="宋体" w:hAnsi="宋体" w:cs="宋体"/>
        </w:rPr>
      </w:pPr>
    </w:p>
    <w:p w14:paraId="523EBAFB">
      <w:pPr>
        <w:pStyle w:val="23"/>
        <w:rPr>
          <w:rFonts w:hint="eastAsia" w:ascii="宋体" w:hAnsi="宋体" w:cs="宋体"/>
        </w:rPr>
      </w:pPr>
    </w:p>
    <w:p w14:paraId="47B65E53">
      <w:pPr>
        <w:pStyle w:val="104"/>
        <w:ind w:firstLine="360"/>
        <w:rPr>
          <w:rFonts w:hint="eastAsia" w:ascii="宋体" w:hAnsi="宋体" w:cs="宋体"/>
          <w:lang w:eastAsia="zh-CN"/>
        </w:rPr>
      </w:pPr>
    </w:p>
    <w:p w14:paraId="24A97619">
      <w:pPr>
        <w:spacing w:line="360" w:lineRule="auto"/>
        <w:jc w:val="center"/>
        <w:rPr>
          <w:rFonts w:hint="eastAsia" w:ascii="宋体" w:hAnsi="宋体" w:cs="宋体"/>
          <w:b/>
          <w:bCs/>
          <w:sz w:val="30"/>
          <w:szCs w:val="30"/>
        </w:rPr>
      </w:pPr>
      <w:r>
        <w:rPr>
          <w:rFonts w:hint="eastAsia" w:ascii="宋体" w:hAnsi="宋体" w:cs="宋体"/>
          <w:b/>
          <w:bCs/>
          <w:sz w:val="30"/>
          <w:szCs w:val="30"/>
        </w:rPr>
        <w:br w:type="page"/>
      </w:r>
      <w:r>
        <w:rPr>
          <w:rFonts w:hint="eastAsia" w:ascii="宋体" w:hAnsi="宋体" w:cs="宋体"/>
          <w:b/>
          <w:bCs/>
          <w:sz w:val="30"/>
          <w:szCs w:val="30"/>
        </w:rPr>
        <w:t>第三部分  价格响应文件主要内容</w:t>
      </w:r>
    </w:p>
    <w:p w14:paraId="3BC1FCBB">
      <w:pPr>
        <w:spacing w:line="360" w:lineRule="auto"/>
        <w:jc w:val="center"/>
        <w:rPr>
          <w:rFonts w:hint="eastAsia" w:ascii="宋体" w:hAnsi="宋体" w:cs="宋体"/>
          <w:sz w:val="32"/>
          <w:szCs w:val="32"/>
        </w:rPr>
      </w:pPr>
    </w:p>
    <w:p w14:paraId="74CA32CE">
      <w:pPr>
        <w:spacing w:line="480" w:lineRule="exact"/>
        <w:jc w:val="center"/>
        <w:rPr>
          <w:rFonts w:hint="eastAsia" w:ascii="宋体" w:hAnsi="宋体" w:cs="宋体"/>
          <w:sz w:val="24"/>
        </w:rPr>
      </w:pPr>
      <w:r>
        <w:rPr>
          <w:rFonts w:hint="eastAsia" w:ascii="宋体" w:hAnsi="宋体" w:cs="宋体"/>
          <w:sz w:val="24"/>
        </w:rPr>
        <w:t>目录</w:t>
      </w:r>
    </w:p>
    <w:p w14:paraId="72F0892A">
      <w:pPr>
        <w:pStyle w:val="13"/>
        <w:spacing w:line="480" w:lineRule="exact"/>
        <w:rPr>
          <w:rFonts w:hint="eastAsia" w:ascii="宋体" w:hAnsi="宋体" w:eastAsia="宋体" w:cs="宋体"/>
        </w:rPr>
      </w:pPr>
    </w:p>
    <w:p w14:paraId="4B3279C1">
      <w:pPr>
        <w:spacing w:line="480" w:lineRule="exact"/>
        <w:rPr>
          <w:rFonts w:hint="eastAsia" w:ascii="宋体" w:hAnsi="宋体" w:cs="宋体"/>
          <w:sz w:val="24"/>
        </w:rPr>
      </w:pPr>
      <w:r>
        <w:rPr>
          <w:rFonts w:hint="eastAsia" w:ascii="宋体" w:hAnsi="宋体" w:cs="宋体"/>
          <w:sz w:val="24"/>
          <w:lang w:eastAsia="zh-CN"/>
        </w:rPr>
        <w:t>1.</w:t>
      </w:r>
      <w:r>
        <w:rPr>
          <w:rFonts w:hint="eastAsia" w:ascii="宋体" w:hAnsi="宋体" w:cs="宋体"/>
          <w:sz w:val="24"/>
        </w:rPr>
        <w:t>报价函（一次报价）；</w:t>
      </w:r>
    </w:p>
    <w:p w14:paraId="640D3CD3">
      <w:pPr>
        <w:pStyle w:val="38"/>
        <w:ind w:firstLine="480"/>
        <w:rPr>
          <w:rFonts w:hint="eastAsia" w:ascii="宋体" w:hAnsi="宋体" w:eastAsia="宋体" w:cs="宋体"/>
          <w:sz w:val="24"/>
          <w:szCs w:val="24"/>
        </w:rPr>
      </w:pPr>
    </w:p>
    <w:p w14:paraId="06973D01">
      <w:pPr>
        <w:rPr>
          <w:rFonts w:hint="eastAsia" w:ascii="宋体" w:hAnsi="宋体" w:cs="宋体"/>
          <w:sz w:val="24"/>
        </w:rPr>
      </w:pPr>
    </w:p>
    <w:p w14:paraId="3655AE4F">
      <w:pPr>
        <w:pStyle w:val="38"/>
        <w:ind w:firstLine="480"/>
        <w:rPr>
          <w:rFonts w:hint="eastAsia" w:ascii="宋体" w:hAnsi="宋体" w:eastAsia="宋体" w:cs="宋体"/>
          <w:sz w:val="24"/>
          <w:szCs w:val="24"/>
        </w:rPr>
      </w:pPr>
    </w:p>
    <w:p w14:paraId="2F07F8EC">
      <w:pPr>
        <w:rPr>
          <w:rFonts w:hint="eastAsia" w:ascii="宋体" w:hAnsi="宋体" w:cs="宋体"/>
          <w:sz w:val="24"/>
        </w:rPr>
      </w:pPr>
    </w:p>
    <w:p w14:paraId="6114DC42">
      <w:pPr>
        <w:pStyle w:val="38"/>
        <w:ind w:firstLine="480"/>
        <w:rPr>
          <w:rFonts w:hint="eastAsia" w:ascii="宋体" w:hAnsi="宋体" w:eastAsia="宋体" w:cs="宋体"/>
          <w:sz w:val="24"/>
          <w:szCs w:val="24"/>
        </w:rPr>
      </w:pPr>
    </w:p>
    <w:p w14:paraId="67193008">
      <w:pPr>
        <w:rPr>
          <w:rFonts w:hint="eastAsia" w:ascii="宋体" w:hAnsi="宋体" w:cs="宋体"/>
          <w:sz w:val="24"/>
        </w:rPr>
      </w:pPr>
    </w:p>
    <w:p w14:paraId="5AA0AE1C">
      <w:pPr>
        <w:pStyle w:val="38"/>
        <w:ind w:firstLine="480"/>
        <w:rPr>
          <w:rFonts w:hint="eastAsia" w:ascii="宋体" w:hAnsi="宋体" w:eastAsia="宋体" w:cs="宋体"/>
          <w:sz w:val="24"/>
          <w:szCs w:val="24"/>
        </w:rPr>
      </w:pPr>
    </w:p>
    <w:p w14:paraId="384D88FE">
      <w:pPr>
        <w:rPr>
          <w:rFonts w:hint="eastAsia" w:ascii="宋体" w:hAnsi="宋体" w:cs="宋体"/>
          <w:sz w:val="24"/>
        </w:rPr>
      </w:pPr>
    </w:p>
    <w:p w14:paraId="671008F9">
      <w:pPr>
        <w:pStyle w:val="38"/>
        <w:ind w:firstLine="480"/>
        <w:rPr>
          <w:rFonts w:hint="eastAsia" w:ascii="宋体" w:hAnsi="宋体" w:eastAsia="宋体" w:cs="宋体"/>
          <w:sz w:val="24"/>
          <w:szCs w:val="24"/>
        </w:rPr>
      </w:pPr>
    </w:p>
    <w:p w14:paraId="627048C0">
      <w:pPr>
        <w:rPr>
          <w:rFonts w:hint="eastAsia" w:ascii="宋体" w:hAnsi="宋体" w:cs="宋体"/>
          <w:sz w:val="24"/>
        </w:rPr>
      </w:pPr>
    </w:p>
    <w:p w14:paraId="6B5E4994">
      <w:pPr>
        <w:pStyle w:val="38"/>
        <w:ind w:firstLine="480"/>
        <w:rPr>
          <w:rFonts w:hint="eastAsia" w:ascii="宋体" w:hAnsi="宋体" w:eastAsia="宋体" w:cs="宋体"/>
          <w:sz w:val="24"/>
          <w:szCs w:val="24"/>
        </w:rPr>
      </w:pPr>
    </w:p>
    <w:p w14:paraId="036731CE">
      <w:pPr>
        <w:rPr>
          <w:rFonts w:hint="eastAsia" w:ascii="宋体" w:hAnsi="宋体" w:cs="宋体"/>
          <w:sz w:val="24"/>
        </w:rPr>
      </w:pPr>
    </w:p>
    <w:p w14:paraId="76F6BA07">
      <w:pPr>
        <w:pStyle w:val="38"/>
        <w:ind w:firstLine="480"/>
        <w:rPr>
          <w:rFonts w:hint="eastAsia" w:ascii="宋体" w:hAnsi="宋体" w:eastAsia="宋体" w:cs="宋体"/>
          <w:sz w:val="24"/>
          <w:szCs w:val="24"/>
        </w:rPr>
      </w:pPr>
    </w:p>
    <w:p w14:paraId="4C835338">
      <w:pPr>
        <w:rPr>
          <w:rFonts w:hint="eastAsia" w:ascii="宋体" w:hAnsi="宋体" w:cs="宋体"/>
          <w:sz w:val="24"/>
        </w:rPr>
      </w:pPr>
    </w:p>
    <w:p w14:paraId="5B66676A">
      <w:pPr>
        <w:pStyle w:val="38"/>
        <w:ind w:firstLine="480"/>
        <w:rPr>
          <w:rFonts w:hint="eastAsia" w:ascii="宋体" w:hAnsi="宋体" w:eastAsia="宋体" w:cs="宋体"/>
          <w:sz w:val="24"/>
          <w:szCs w:val="24"/>
        </w:rPr>
      </w:pPr>
    </w:p>
    <w:p w14:paraId="49EDACAA">
      <w:pPr>
        <w:rPr>
          <w:rFonts w:hint="eastAsia" w:ascii="宋体" w:hAnsi="宋体" w:cs="宋体"/>
          <w:sz w:val="24"/>
        </w:rPr>
      </w:pPr>
    </w:p>
    <w:p w14:paraId="143D521A">
      <w:pPr>
        <w:pStyle w:val="13"/>
        <w:rPr>
          <w:rFonts w:hint="eastAsia" w:ascii="宋体" w:hAnsi="宋体" w:eastAsia="宋体" w:cs="宋体"/>
        </w:rPr>
      </w:pPr>
    </w:p>
    <w:p w14:paraId="7854AB81">
      <w:pPr>
        <w:rPr>
          <w:rFonts w:hint="eastAsia" w:ascii="宋体" w:hAnsi="宋体" w:cs="宋体"/>
        </w:rPr>
      </w:pPr>
    </w:p>
    <w:p w14:paraId="640E669E">
      <w:pPr>
        <w:pStyle w:val="103"/>
        <w:rPr>
          <w:rFonts w:hint="eastAsia" w:ascii="宋体" w:hAnsi="宋体" w:cs="宋体"/>
        </w:rPr>
      </w:pPr>
    </w:p>
    <w:p w14:paraId="15FE0F3C">
      <w:pPr>
        <w:pStyle w:val="104"/>
        <w:ind w:firstLine="360"/>
        <w:rPr>
          <w:rFonts w:hint="eastAsia" w:ascii="宋体" w:hAnsi="宋体" w:cs="宋体"/>
          <w:lang w:eastAsia="zh-CN"/>
        </w:rPr>
      </w:pPr>
    </w:p>
    <w:p w14:paraId="621BF659">
      <w:pPr>
        <w:rPr>
          <w:rFonts w:hint="eastAsia" w:ascii="宋体" w:hAnsi="宋体" w:cs="宋体"/>
        </w:rPr>
      </w:pPr>
    </w:p>
    <w:p w14:paraId="123AFD98">
      <w:pPr>
        <w:pStyle w:val="103"/>
        <w:rPr>
          <w:rFonts w:hint="eastAsia" w:ascii="宋体" w:hAnsi="宋体" w:cs="宋体"/>
        </w:rPr>
      </w:pPr>
    </w:p>
    <w:p w14:paraId="0F3E1041">
      <w:pPr>
        <w:pStyle w:val="104"/>
        <w:ind w:firstLine="360"/>
        <w:rPr>
          <w:rFonts w:hint="eastAsia" w:ascii="宋体" w:hAnsi="宋体" w:cs="宋体"/>
          <w:lang w:eastAsia="zh-CN"/>
        </w:rPr>
      </w:pPr>
    </w:p>
    <w:p w14:paraId="0CCB1C26">
      <w:pPr>
        <w:rPr>
          <w:rFonts w:hint="eastAsia" w:ascii="宋体" w:hAnsi="宋体" w:cs="宋体"/>
        </w:rPr>
      </w:pPr>
    </w:p>
    <w:p w14:paraId="5287E275">
      <w:pPr>
        <w:pStyle w:val="104"/>
        <w:ind w:firstLine="360"/>
        <w:rPr>
          <w:rFonts w:hint="eastAsia" w:ascii="宋体" w:hAnsi="宋体" w:cs="宋体"/>
          <w:lang w:eastAsia="zh-CN"/>
        </w:rPr>
      </w:pPr>
    </w:p>
    <w:p w14:paraId="04264B96">
      <w:pPr>
        <w:rPr>
          <w:rFonts w:hint="eastAsia" w:ascii="宋体" w:hAnsi="宋体" w:cs="宋体"/>
        </w:rPr>
      </w:pPr>
    </w:p>
    <w:p w14:paraId="777991D0">
      <w:pPr>
        <w:pStyle w:val="103"/>
        <w:rPr>
          <w:rFonts w:hint="eastAsia" w:ascii="宋体" w:hAnsi="宋体" w:cs="宋体"/>
        </w:rPr>
      </w:pPr>
    </w:p>
    <w:p w14:paraId="13764252">
      <w:pPr>
        <w:pStyle w:val="104"/>
        <w:ind w:firstLine="360"/>
        <w:rPr>
          <w:rFonts w:hint="eastAsia" w:ascii="宋体" w:hAnsi="宋体" w:cs="宋体"/>
          <w:lang w:eastAsia="zh-CN"/>
        </w:rPr>
      </w:pPr>
    </w:p>
    <w:p w14:paraId="72DE8168">
      <w:pPr>
        <w:rPr>
          <w:rFonts w:hint="eastAsia" w:ascii="宋体" w:hAnsi="宋体" w:cs="宋体"/>
        </w:rPr>
      </w:pPr>
    </w:p>
    <w:p w14:paraId="1E4F37C4">
      <w:pPr>
        <w:pStyle w:val="13"/>
        <w:rPr>
          <w:rFonts w:hint="eastAsia" w:ascii="宋体" w:hAnsi="宋体" w:eastAsia="宋体" w:cs="宋体"/>
        </w:rPr>
      </w:pPr>
    </w:p>
    <w:p w14:paraId="62B37ACB">
      <w:pPr>
        <w:rPr>
          <w:rFonts w:hint="eastAsia" w:ascii="宋体" w:hAnsi="宋体" w:cs="宋体"/>
        </w:rPr>
      </w:pPr>
    </w:p>
    <w:p w14:paraId="503318C0">
      <w:pPr>
        <w:pStyle w:val="13"/>
        <w:rPr>
          <w:rFonts w:hint="eastAsia" w:ascii="宋体" w:hAnsi="宋体" w:eastAsia="宋体" w:cs="宋体"/>
        </w:rPr>
      </w:pPr>
    </w:p>
    <w:p w14:paraId="69383EB1">
      <w:pPr>
        <w:rPr>
          <w:rFonts w:hint="eastAsia" w:ascii="宋体" w:hAnsi="宋体" w:cs="宋体"/>
        </w:rPr>
      </w:pPr>
    </w:p>
    <w:p w14:paraId="4CDCAA59">
      <w:pPr>
        <w:pStyle w:val="13"/>
        <w:rPr>
          <w:rFonts w:hint="eastAsia" w:ascii="宋体" w:hAnsi="宋体" w:eastAsia="宋体" w:cs="宋体"/>
        </w:rPr>
      </w:pPr>
    </w:p>
    <w:p w14:paraId="11D2BD48">
      <w:pPr>
        <w:rPr>
          <w:rFonts w:hint="eastAsia" w:ascii="宋体" w:hAnsi="宋体" w:cs="宋体"/>
        </w:rPr>
      </w:pPr>
    </w:p>
    <w:p w14:paraId="388E1347">
      <w:pPr>
        <w:jc w:val="center"/>
        <w:rPr>
          <w:rFonts w:hint="eastAsia" w:ascii="宋体" w:hAnsi="宋体" w:cs="宋体"/>
          <w:b/>
          <w:bCs/>
          <w:sz w:val="32"/>
          <w:szCs w:val="32"/>
        </w:rPr>
      </w:pPr>
    </w:p>
    <w:p w14:paraId="5EB60578">
      <w:pPr>
        <w:jc w:val="center"/>
        <w:rPr>
          <w:rFonts w:hint="eastAsia" w:ascii="宋体" w:hAnsi="宋体" w:cs="宋体"/>
          <w:b/>
          <w:bCs/>
          <w:sz w:val="32"/>
          <w:szCs w:val="32"/>
        </w:rPr>
      </w:pPr>
    </w:p>
    <w:p w14:paraId="1721910D">
      <w:pPr>
        <w:spacing w:line="440" w:lineRule="exact"/>
        <w:jc w:val="center"/>
        <w:rPr>
          <w:rFonts w:hint="eastAsia" w:ascii="宋体" w:hAnsi="宋体" w:eastAsia="宋体" w:cs="宋体"/>
          <w:b/>
          <w:bCs/>
          <w:sz w:val="32"/>
          <w:szCs w:val="32"/>
          <w:highlight w:val="none"/>
          <w:lang w:eastAsia="zh-CN"/>
        </w:rPr>
      </w:pPr>
      <w:r>
        <w:rPr>
          <w:rFonts w:hint="eastAsia" w:ascii="宋体" w:hAnsi="宋体" w:eastAsia="宋体" w:cs="宋体"/>
          <w:b/>
          <w:bCs/>
          <w:sz w:val="32"/>
          <w:szCs w:val="32"/>
          <w:highlight w:val="none"/>
          <w:lang w:val="en-US" w:eastAsia="zh-CN"/>
        </w:rPr>
        <w:t>报价</w:t>
      </w:r>
      <w:r>
        <w:rPr>
          <w:rFonts w:hint="eastAsia" w:ascii="宋体" w:hAnsi="宋体" w:eastAsia="宋体" w:cs="宋体"/>
          <w:b/>
          <w:bCs/>
          <w:sz w:val="32"/>
          <w:szCs w:val="32"/>
          <w:highlight w:val="none"/>
        </w:rPr>
        <w:t>函</w:t>
      </w:r>
      <w:r>
        <w:rPr>
          <w:rFonts w:hint="eastAsia" w:ascii="宋体" w:hAnsi="宋体" w:eastAsia="宋体" w:cs="宋体"/>
          <w:b/>
          <w:bCs/>
          <w:sz w:val="32"/>
          <w:szCs w:val="32"/>
          <w:highlight w:val="none"/>
          <w:lang w:eastAsia="zh-CN"/>
        </w:rPr>
        <w:t>（</w:t>
      </w:r>
      <w:r>
        <w:rPr>
          <w:rFonts w:hint="eastAsia" w:ascii="宋体" w:hAnsi="宋体" w:eastAsia="宋体" w:cs="宋体"/>
          <w:b/>
          <w:bCs/>
          <w:sz w:val="32"/>
          <w:szCs w:val="32"/>
          <w:highlight w:val="none"/>
          <w:lang w:val="en-US" w:eastAsia="zh-CN"/>
        </w:rPr>
        <w:t>一次报价</w:t>
      </w:r>
      <w:r>
        <w:rPr>
          <w:rFonts w:hint="eastAsia" w:ascii="宋体" w:hAnsi="宋体" w:eastAsia="宋体" w:cs="宋体"/>
          <w:b/>
          <w:bCs/>
          <w:sz w:val="32"/>
          <w:szCs w:val="32"/>
          <w:highlight w:val="none"/>
          <w:lang w:eastAsia="zh-CN"/>
        </w:rPr>
        <w:t>）</w:t>
      </w:r>
    </w:p>
    <w:p w14:paraId="23D1B3FD">
      <w:pPr>
        <w:spacing w:line="440" w:lineRule="exact"/>
        <w:jc w:val="center"/>
        <w:rPr>
          <w:rFonts w:hint="eastAsia" w:ascii="宋体" w:hAnsi="宋体" w:eastAsia="宋体" w:cs="宋体"/>
          <w:b/>
          <w:bCs/>
          <w:sz w:val="32"/>
          <w:szCs w:val="32"/>
          <w:highlight w:val="none"/>
          <w:lang w:eastAsia="zh-CN"/>
        </w:rPr>
      </w:pPr>
    </w:p>
    <w:p w14:paraId="11C466F8">
      <w:pPr>
        <w:spacing w:line="440" w:lineRule="exact"/>
        <w:ind w:firstLine="482" w:firstLineChars="200"/>
        <w:rPr>
          <w:rFonts w:hint="eastAsia" w:ascii="宋体" w:hAnsi="宋体" w:eastAsia="宋体" w:cs="宋体"/>
          <w:b/>
          <w:bCs/>
          <w:sz w:val="24"/>
          <w:highlight w:val="none"/>
        </w:rPr>
      </w:pPr>
    </w:p>
    <w:p w14:paraId="745A9997">
      <w:pPr>
        <w:spacing w:line="440" w:lineRule="exact"/>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lang w:eastAsia="zh-CN"/>
        </w:rPr>
        <w:t>南通中宏产业投资集团有限公司</w:t>
      </w:r>
      <w:r>
        <w:rPr>
          <w:rFonts w:hint="eastAsia" w:ascii="宋体" w:hAnsi="宋体" w:eastAsia="宋体" w:cs="宋体"/>
          <w:sz w:val="24"/>
          <w:szCs w:val="24"/>
          <w:highlight w:val="none"/>
        </w:rPr>
        <w:t>：</w:t>
      </w:r>
    </w:p>
    <w:p w14:paraId="3A3E529C">
      <w:pPr>
        <w:pStyle w:val="8"/>
        <w:spacing w:line="480" w:lineRule="exact"/>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1.</w:t>
      </w:r>
      <w:r>
        <w:rPr>
          <w:rFonts w:hint="eastAsia" w:ascii="宋体" w:hAnsi="宋体" w:eastAsia="宋体" w:cs="宋体"/>
          <w:sz w:val="24"/>
          <w:szCs w:val="24"/>
          <w:highlight w:val="none"/>
        </w:rPr>
        <w:t>根据已收到的</w:t>
      </w:r>
      <w:r>
        <w:rPr>
          <w:rFonts w:hint="eastAsia" w:ascii="宋体" w:hAnsi="宋体" w:eastAsia="宋体" w:cs="宋体"/>
          <w:sz w:val="24"/>
          <w:szCs w:val="24"/>
          <w:highlight w:val="none"/>
          <w:u w:val="single"/>
          <w:lang w:val="en-US" w:eastAsia="zh-CN"/>
        </w:rPr>
        <w:t xml:space="preserve"> （项目名称）</w:t>
      </w:r>
      <w:r>
        <w:rPr>
          <w:rFonts w:hint="eastAsia" w:ascii="宋体" w:hAnsi="宋体" w:eastAsia="宋体" w:cs="宋体"/>
          <w:sz w:val="24"/>
          <w:szCs w:val="24"/>
          <w:highlight w:val="none"/>
          <w:lang w:eastAsia="zh-CN"/>
        </w:rPr>
        <w:t>采购文件</w:t>
      </w:r>
      <w:r>
        <w:rPr>
          <w:rFonts w:hint="eastAsia" w:ascii="宋体" w:hAnsi="宋体" w:eastAsia="宋体" w:cs="宋体"/>
          <w:sz w:val="24"/>
          <w:szCs w:val="24"/>
          <w:highlight w:val="none"/>
        </w:rPr>
        <w:t>，经研究上述项目</w:t>
      </w:r>
      <w:r>
        <w:rPr>
          <w:rFonts w:hint="eastAsia" w:ascii="宋体" w:hAnsi="宋体" w:eastAsia="宋体" w:cs="宋体"/>
          <w:sz w:val="24"/>
          <w:szCs w:val="24"/>
          <w:highlight w:val="none"/>
          <w:lang w:eastAsia="zh-CN"/>
        </w:rPr>
        <w:t>采购文件</w:t>
      </w:r>
      <w:r>
        <w:rPr>
          <w:rFonts w:hint="eastAsia" w:ascii="宋体" w:hAnsi="宋体" w:eastAsia="宋体" w:cs="宋体"/>
          <w:sz w:val="24"/>
          <w:szCs w:val="24"/>
          <w:highlight w:val="none"/>
          <w:lang w:val="en-US" w:eastAsia="zh-CN"/>
        </w:rPr>
        <w:t>及现场踏勘</w:t>
      </w:r>
      <w:r>
        <w:rPr>
          <w:rFonts w:hint="eastAsia" w:ascii="宋体" w:hAnsi="宋体" w:eastAsia="宋体" w:cs="宋体"/>
          <w:sz w:val="24"/>
          <w:szCs w:val="24"/>
          <w:highlight w:val="none"/>
        </w:rPr>
        <w:t>，我方愿以人民币</w:t>
      </w:r>
      <w:r>
        <w:rPr>
          <w:rFonts w:hint="eastAsia" w:ascii="宋体" w:hAnsi="宋体" w:eastAsia="宋体" w:cs="宋体"/>
          <w:sz w:val="24"/>
          <w:szCs w:val="24"/>
          <w:highlight w:val="none"/>
          <w:u w:val="single"/>
        </w:rPr>
        <w:t>（大写）（小写）</w:t>
      </w:r>
      <w:r>
        <w:rPr>
          <w:rFonts w:hint="eastAsia" w:ascii="宋体" w:hAnsi="宋体" w:eastAsia="宋体" w:cs="宋体"/>
          <w:sz w:val="24"/>
          <w:szCs w:val="24"/>
          <w:highlight w:val="none"/>
          <w:u w:val="single"/>
          <w:lang w:val="en-US" w:eastAsia="zh-CN"/>
        </w:rPr>
        <w:t>元</w:t>
      </w:r>
      <w:r>
        <w:rPr>
          <w:rFonts w:hint="eastAsia" w:ascii="宋体" w:hAnsi="宋体" w:eastAsia="宋体" w:cs="宋体"/>
          <w:sz w:val="24"/>
          <w:szCs w:val="24"/>
          <w:highlight w:val="none"/>
        </w:rPr>
        <w:t>的总价</w:t>
      </w:r>
      <w:r>
        <w:rPr>
          <w:rFonts w:hint="eastAsia" w:ascii="宋体" w:hAnsi="宋体" w:eastAsia="宋体" w:cs="宋体"/>
          <w:b/>
          <w:bCs/>
          <w:sz w:val="24"/>
          <w:szCs w:val="24"/>
          <w:highlight w:val="none"/>
          <w:lang w:val="en-US" w:eastAsia="zh-CN"/>
        </w:rPr>
        <w:t>（不含税）</w:t>
      </w:r>
      <w:r>
        <w:rPr>
          <w:rFonts w:hint="eastAsia" w:ascii="宋体" w:hAnsi="宋体" w:eastAsia="宋体" w:cs="宋体"/>
          <w:sz w:val="24"/>
          <w:szCs w:val="24"/>
          <w:highlight w:val="none"/>
        </w:rPr>
        <w:t>承担本项目所有内容。</w:t>
      </w:r>
    </w:p>
    <w:p w14:paraId="73F20271">
      <w:pPr>
        <w:pStyle w:val="8"/>
        <w:spacing w:line="480" w:lineRule="exact"/>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2.</w:t>
      </w:r>
      <w:r>
        <w:rPr>
          <w:rFonts w:hint="eastAsia" w:ascii="宋体" w:hAnsi="宋体" w:eastAsia="宋体" w:cs="宋体"/>
          <w:sz w:val="24"/>
          <w:szCs w:val="24"/>
          <w:highlight w:val="none"/>
        </w:rPr>
        <w:t>一旦我方</w:t>
      </w:r>
      <w:r>
        <w:rPr>
          <w:rFonts w:hint="eastAsia" w:ascii="宋体" w:hAnsi="宋体" w:eastAsia="宋体" w:cs="宋体"/>
          <w:sz w:val="24"/>
          <w:szCs w:val="24"/>
          <w:highlight w:val="none"/>
          <w:lang w:eastAsia="zh-CN"/>
        </w:rPr>
        <w:t>成交</w:t>
      </w:r>
      <w:r>
        <w:rPr>
          <w:rFonts w:hint="eastAsia" w:ascii="宋体" w:hAnsi="宋体" w:eastAsia="宋体" w:cs="宋体"/>
          <w:sz w:val="24"/>
          <w:szCs w:val="24"/>
          <w:highlight w:val="none"/>
        </w:rPr>
        <w:t>，我方保证按</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要求的服务期限和质量标准完成任务。</w:t>
      </w:r>
    </w:p>
    <w:p w14:paraId="0A784CB7">
      <w:pPr>
        <w:pStyle w:val="8"/>
        <w:spacing w:line="480" w:lineRule="exact"/>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3.</w:t>
      </w:r>
      <w:r>
        <w:rPr>
          <w:rFonts w:hint="eastAsia" w:ascii="宋体" w:hAnsi="宋体" w:eastAsia="宋体" w:cs="宋体"/>
          <w:sz w:val="24"/>
          <w:szCs w:val="24"/>
          <w:highlight w:val="none"/>
        </w:rPr>
        <w:t>如果我方</w:t>
      </w:r>
      <w:r>
        <w:rPr>
          <w:rFonts w:hint="eastAsia" w:ascii="宋体" w:hAnsi="宋体" w:eastAsia="宋体" w:cs="宋体"/>
          <w:sz w:val="24"/>
          <w:szCs w:val="24"/>
          <w:highlight w:val="none"/>
          <w:lang w:eastAsia="zh-CN"/>
        </w:rPr>
        <w:t>成交</w:t>
      </w:r>
      <w:r>
        <w:rPr>
          <w:rFonts w:hint="eastAsia" w:ascii="宋体" w:hAnsi="宋体" w:eastAsia="宋体" w:cs="宋体"/>
          <w:sz w:val="24"/>
          <w:szCs w:val="24"/>
          <w:highlight w:val="none"/>
        </w:rPr>
        <w:t>，我方保证做到：绝不违法分包、转包，并严格按照</w:t>
      </w:r>
      <w:r>
        <w:rPr>
          <w:rFonts w:hint="eastAsia" w:ascii="宋体" w:hAnsi="宋体" w:eastAsia="宋体" w:cs="宋体"/>
          <w:sz w:val="24"/>
          <w:szCs w:val="24"/>
          <w:highlight w:val="none"/>
          <w:lang w:eastAsia="zh-CN"/>
        </w:rPr>
        <w:t>采购文件</w:t>
      </w:r>
      <w:r>
        <w:rPr>
          <w:rFonts w:hint="eastAsia" w:ascii="宋体" w:hAnsi="宋体" w:eastAsia="宋体" w:cs="宋体"/>
          <w:sz w:val="24"/>
          <w:szCs w:val="24"/>
          <w:highlight w:val="none"/>
        </w:rPr>
        <w:t>的要求完成任务。否则愿接受合同违约索赔和监管部门按规定进行的处理。</w:t>
      </w:r>
    </w:p>
    <w:p w14:paraId="118CCBB5">
      <w:pPr>
        <w:pStyle w:val="8"/>
        <w:spacing w:line="480" w:lineRule="exact"/>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4.</w:t>
      </w:r>
      <w:r>
        <w:rPr>
          <w:rFonts w:hint="eastAsia" w:ascii="宋体" w:hAnsi="宋体" w:eastAsia="宋体" w:cs="宋体"/>
          <w:sz w:val="24"/>
          <w:szCs w:val="24"/>
          <w:highlight w:val="none"/>
        </w:rPr>
        <w:t>我单位充分理解本项目实施时间的实际情况，确认本</w:t>
      </w:r>
      <w:r>
        <w:rPr>
          <w:rFonts w:hint="eastAsia" w:ascii="宋体" w:hAnsi="宋体" w:eastAsia="宋体" w:cs="宋体"/>
          <w:sz w:val="24"/>
          <w:szCs w:val="24"/>
          <w:highlight w:val="none"/>
          <w:lang w:eastAsia="zh-CN"/>
        </w:rPr>
        <w:t>采购文件</w:t>
      </w:r>
      <w:r>
        <w:rPr>
          <w:rFonts w:hint="eastAsia" w:ascii="宋体" w:hAnsi="宋体" w:eastAsia="宋体" w:cs="宋体"/>
          <w:sz w:val="24"/>
          <w:szCs w:val="24"/>
          <w:highlight w:val="none"/>
        </w:rPr>
        <w:t>确定的投标截止、开标时间不影响我单位正常的报价。</w:t>
      </w:r>
    </w:p>
    <w:p w14:paraId="0C5BBD32">
      <w:pPr>
        <w:pStyle w:val="8"/>
        <w:spacing w:line="480" w:lineRule="exact"/>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5.</w:t>
      </w:r>
      <w:r>
        <w:rPr>
          <w:rFonts w:hint="eastAsia" w:ascii="宋体" w:hAnsi="宋体" w:eastAsia="宋体" w:cs="宋体"/>
          <w:sz w:val="24"/>
          <w:szCs w:val="24"/>
          <w:highlight w:val="none"/>
        </w:rPr>
        <w:t>除非另外达成协议并生效，你方的</w:t>
      </w:r>
      <w:r>
        <w:rPr>
          <w:rFonts w:hint="eastAsia" w:ascii="宋体" w:hAnsi="宋体" w:eastAsia="宋体" w:cs="宋体"/>
          <w:sz w:val="24"/>
          <w:szCs w:val="24"/>
          <w:highlight w:val="none"/>
          <w:lang w:eastAsia="zh-CN"/>
        </w:rPr>
        <w:t>成交</w:t>
      </w:r>
      <w:r>
        <w:rPr>
          <w:rFonts w:hint="eastAsia" w:ascii="宋体" w:hAnsi="宋体" w:eastAsia="宋体" w:cs="宋体"/>
          <w:sz w:val="24"/>
          <w:szCs w:val="24"/>
          <w:highlight w:val="none"/>
        </w:rPr>
        <w:t>通知书和本</w:t>
      </w:r>
      <w:r>
        <w:rPr>
          <w:rFonts w:hint="eastAsia" w:ascii="宋体" w:hAnsi="宋体" w:eastAsia="宋体" w:cs="宋体"/>
          <w:sz w:val="24"/>
          <w:szCs w:val="24"/>
          <w:highlight w:val="none"/>
          <w:lang w:eastAsia="zh-CN"/>
        </w:rPr>
        <w:t>响应文件</w:t>
      </w:r>
      <w:r>
        <w:rPr>
          <w:rFonts w:hint="eastAsia" w:ascii="宋体" w:hAnsi="宋体" w:eastAsia="宋体" w:cs="宋体"/>
          <w:sz w:val="24"/>
          <w:szCs w:val="24"/>
          <w:highlight w:val="none"/>
        </w:rPr>
        <w:t>将构成约束我们双方的合同。</w:t>
      </w:r>
    </w:p>
    <w:p w14:paraId="788E7099">
      <w:pPr>
        <w:spacing w:line="48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6.</w:t>
      </w:r>
      <w:r>
        <w:rPr>
          <w:rFonts w:hint="eastAsia" w:ascii="宋体" w:hAnsi="宋体" w:eastAsia="宋体" w:cs="宋体"/>
          <w:sz w:val="24"/>
          <w:szCs w:val="24"/>
          <w:highlight w:val="none"/>
        </w:rPr>
        <w:t>在此我方郑重承诺：我方将按照</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的要求提供高质量的服务。</w:t>
      </w:r>
    </w:p>
    <w:p w14:paraId="31E1BC1E">
      <w:pPr>
        <w:spacing w:line="480" w:lineRule="exact"/>
        <w:ind w:firstLine="480" w:firstLineChars="200"/>
        <w:rPr>
          <w:rFonts w:hint="eastAsia" w:ascii="宋体" w:hAnsi="宋体" w:eastAsia="宋体" w:cs="宋体"/>
          <w:sz w:val="24"/>
          <w:szCs w:val="24"/>
          <w:highlight w:val="none"/>
        </w:rPr>
      </w:pPr>
    </w:p>
    <w:p w14:paraId="06779FDA">
      <w:pPr>
        <w:spacing w:line="48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rPr>
        <w:t>：（盖章）</w:t>
      </w:r>
    </w:p>
    <w:p w14:paraId="41F58B5B">
      <w:pPr>
        <w:spacing w:line="480" w:lineRule="exact"/>
        <w:ind w:firstLine="480" w:firstLineChars="200"/>
        <w:rPr>
          <w:rFonts w:hint="eastAsia" w:ascii="宋体" w:hAnsi="宋体" w:eastAsia="宋体" w:cs="宋体"/>
          <w:sz w:val="24"/>
          <w:szCs w:val="24"/>
          <w:highlight w:val="none"/>
        </w:rPr>
      </w:pPr>
    </w:p>
    <w:p w14:paraId="43217E4C">
      <w:pPr>
        <w:spacing w:line="48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法定代表人或授权代理人（签字或印鉴）：</w:t>
      </w:r>
    </w:p>
    <w:p w14:paraId="6F572D3F">
      <w:pPr>
        <w:spacing w:line="440" w:lineRule="exact"/>
        <w:ind w:firstLine="480" w:firstLineChars="200"/>
        <w:jc w:val="right"/>
        <w:rPr>
          <w:rFonts w:hint="eastAsia" w:ascii="宋体" w:hAnsi="宋体" w:eastAsia="宋体" w:cs="宋体"/>
          <w:sz w:val="24"/>
          <w:szCs w:val="24"/>
          <w:highlight w:val="none"/>
        </w:rPr>
      </w:pPr>
    </w:p>
    <w:p w14:paraId="12B4C3CD">
      <w:pPr>
        <w:spacing w:line="360" w:lineRule="auto"/>
        <w:ind w:firstLine="240" w:firstLineChars="100"/>
        <w:jc w:val="center"/>
        <w:rPr>
          <w:rFonts w:hint="eastAsia" w:ascii="宋体" w:hAnsi="宋体" w:cs="宋体"/>
          <w:b/>
          <w:sz w:val="32"/>
          <w:szCs w:val="32"/>
        </w:rPr>
      </w:pPr>
      <w:r>
        <w:rPr>
          <w:rFonts w:hint="eastAsia" w:ascii="宋体" w:hAnsi="宋体" w:eastAsia="宋体" w:cs="宋体"/>
          <w:sz w:val="24"/>
          <w:szCs w:val="24"/>
          <w:highlight w:val="none"/>
        </w:rPr>
        <w:t>日    期：        年    月    日</w:t>
      </w:r>
    </w:p>
    <w:p w14:paraId="0F8E44AB">
      <w:pPr>
        <w:spacing w:line="360" w:lineRule="auto"/>
        <w:ind w:firstLine="321" w:firstLineChars="100"/>
        <w:jc w:val="center"/>
        <w:rPr>
          <w:rFonts w:hint="eastAsia" w:ascii="宋体" w:hAnsi="宋体" w:cs="宋体"/>
          <w:b/>
          <w:sz w:val="32"/>
          <w:szCs w:val="32"/>
        </w:rPr>
      </w:pPr>
    </w:p>
    <w:p w14:paraId="671038FF">
      <w:pPr>
        <w:spacing w:line="440" w:lineRule="exact"/>
        <w:jc w:val="center"/>
        <w:rPr>
          <w:rFonts w:hint="eastAsia" w:ascii="宋体" w:hAnsi="宋体" w:eastAsia="宋体" w:cs="宋体"/>
          <w:b/>
          <w:bCs/>
          <w:sz w:val="32"/>
          <w:szCs w:val="32"/>
          <w:highlight w:val="none"/>
          <w:lang w:eastAsia="zh-CN"/>
        </w:rPr>
      </w:pPr>
      <w:r>
        <w:rPr>
          <w:rFonts w:hint="eastAsia" w:ascii="宋体" w:hAnsi="宋体" w:eastAsia="宋体" w:cs="宋体"/>
          <w:b/>
          <w:bCs/>
          <w:sz w:val="32"/>
          <w:szCs w:val="32"/>
          <w:highlight w:val="none"/>
          <w:lang w:val="en-US" w:eastAsia="zh-CN"/>
        </w:rPr>
        <w:br w:type="page"/>
      </w:r>
      <w:r>
        <w:rPr>
          <w:rFonts w:hint="eastAsia" w:ascii="宋体" w:hAnsi="宋体" w:eastAsia="宋体" w:cs="宋体"/>
          <w:b/>
          <w:bCs/>
          <w:sz w:val="32"/>
          <w:szCs w:val="32"/>
          <w:highlight w:val="none"/>
          <w:lang w:val="en-US" w:eastAsia="zh-CN"/>
        </w:rPr>
        <w:t>报价</w:t>
      </w:r>
      <w:r>
        <w:rPr>
          <w:rFonts w:hint="eastAsia" w:ascii="宋体" w:hAnsi="宋体" w:eastAsia="宋体" w:cs="宋体"/>
          <w:b/>
          <w:bCs/>
          <w:sz w:val="32"/>
          <w:szCs w:val="32"/>
          <w:highlight w:val="none"/>
        </w:rPr>
        <w:t>函</w:t>
      </w:r>
      <w:r>
        <w:rPr>
          <w:rFonts w:hint="eastAsia" w:ascii="宋体" w:hAnsi="宋体" w:eastAsia="宋体" w:cs="宋体"/>
          <w:b/>
          <w:bCs/>
          <w:sz w:val="32"/>
          <w:szCs w:val="32"/>
          <w:highlight w:val="none"/>
          <w:lang w:eastAsia="zh-CN"/>
        </w:rPr>
        <w:t>（</w:t>
      </w:r>
      <w:r>
        <w:rPr>
          <w:rFonts w:hint="eastAsia" w:ascii="宋体" w:hAnsi="宋体" w:eastAsia="宋体" w:cs="宋体"/>
          <w:b/>
          <w:bCs/>
          <w:sz w:val="32"/>
          <w:szCs w:val="32"/>
          <w:highlight w:val="none"/>
          <w:lang w:val="en-US" w:eastAsia="zh-CN"/>
        </w:rPr>
        <w:t>二次报价</w:t>
      </w:r>
      <w:r>
        <w:rPr>
          <w:rFonts w:hint="eastAsia" w:ascii="宋体" w:hAnsi="宋体" w:eastAsia="宋体" w:cs="宋体"/>
          <w:b/>
          <w:bCs/>
          <w:sz w:val="32"/>
          <w:szCs w:val="32"/>
          <w:highlight w:val="none"/>
          <w:lang w:eastAsia="zh-CN"/>
        </w:rPr>
        <w:t>）（</w:t>
      </w:r>
      <w:r>
        <w:rPr>
          <w:rFonts w:hint="eastAsia" w:ascii="宋体" w:hAnsi="宋体" w:eastAsia="宋体" w:cs="宋体"/>
          <w:b/>
          <w:bCs/>
          <w:sz w:val="32"/>
          <w:szCs w:val="32"/>
          <w:highlight w:val="none"/>
          <w:lang w:val="en-US" w:eastAsia="zh-CN"/>
        </w:rPr>
        <w:t>单独携带</w:t>
      </w:r>
      <w:r>
        <w:rPr>
          <w:rFonts w:hint="eastAsia" w:ascii="宋体" w:hAnsi="宋体" w:eastAsia="宋体" w:cs="宋体"/>
          <w:b/>
          <w:bCs/>
          <w:sz w:val="32"/>
          <w:szCs w:val="32"/>
          <w:highlight w:val="none"/>
          <w:lang w:eastAsia="zh-CN"/>
        </w:rPr>
        <w:t>）</w:t>
      </w:r>
    </w:p>
    <w:p w14:paraId="11BF2E26">
      <w:pPr>
        <w:spacing w:line="440" w:lineRule="exact"/>
        <w:ind w:firstLine="482" w:firstLineChars="200"/>
        <w:rPr>
          <w:rFonts w:hint="eastAsia" w:ascii="宋体" w:hAnsi="宋体" w:eastAsia="宋体" w:cs="宋体"/>
          <w:b/>
          <w:bCs/>
          <w:sz w:val="24"/>
          <w:highlight w:val="none"/>
        </w:rPr>
      </w:pPr>
    </w:p>
    <w:p w14:paraId="12329CE0">
      <w:pPr>
        <w:spacing w:line="440" w:lineRule="exact"/>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lang w:eastAsia="zh-CN"/>
        </w:rPr>
        <w:t>南通中宏产业投资集团有限公司</w:t>
      </w:r>
      <w:r>
        <w:rPr>
          <w:rFonts w:hint="eastAsia" w:ascii="宋体" w:hAnsi="宋体" w:eastAsia="宋体" w:cs="宋体"/>
          <w:sz w:val="24"/>
          <w:szCs w:val="24"/>
          <w:highlight w:val="none"/>
        </w:rPr>
        <w:t>：</w:t>
      </w:r>
    </w:p>
    <w:p w14:paraId="49D6C446">
      <w:pPr>
        <w:pStyle w:val="8"/>
        <w:spacing w:line="480" w:lineRule="exact"/>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1.</w:t>
      </w:r>
      <w:r>
        <w:rPr>
          <w:rFonts w:hint="eastAsia" w:ascii="宋体" w:hAnsi="宋体" w:eastAsia="宋体" w:cs="宋体"/>
          <w:sz w:val="24"/>
          <w:szCs w:val="24"/>
          <w:highlight w:val="none"/>
        </w:rPr>
        <w:t>根据已收到的</w:t>
      </w:r>
      <w:r>
        <w:rPr>
          <w:rFonts w:hint="eastAsia" w:ascii="宋体" w:hAnsi="宋体" w:eastAsia="宋体" w:cs="宋体"/>
          <w:sz w:val="24"/>
          <w:szCs w:val="24"/>
          <w:highlight w:val="none"/>
          <w:u w:val="single"/>
          <w:lang w:val="en-US" w:eastAsia="zh-CN"/>
        </w:rPr>
        <w:t xml:space="preserve"> （项目名称）</w:t>
      </w:r>
      <w:r>
        <w:rPr>
          <w:rFonts w:hint="eastAsia" w:ascii="宋体" w:hAnsi="宋体" w:eastAsia="宋体" w:cs="宋体"/>
          <w:sz w:val="24"/>
          <w:szCs w:val="24"/>
          <w:highlight w:val="none"/>
          <w:lang w:eastAsia="zh-CN"/>
        </w:rPr>
        <w:t>采购文件</w:t>
      </w:r>
      <w:r>
        <w:rPr>
          <w:rFonts w:hint="eastAsia" w:ascii="宋体" w:hAnsi="宋体" w:eastAsia="宋体" w:cs="宋体"/>
          <w:sz w:val="24"/>
          <w:szCs w:val="24"/>
          <w:highlight w:val="none"/>
        </w:rPr>
        <w:t>，经研究上述项目</w:t>
      </w:r>
      <w:r>
        <w:rPr>
          <w:rFonts w:hint="eastAsia" w:ascii="宋体" w:hAnsi="宋体" w:eastAsia="宋体" w:cs="宋体"/>
          <w:sz w:val="24"/>
          <w:szCs w:val="24"/>
          <w:highlight w:val="none"/>
          <w:lang w:eastAsia="zh-CN"/>
        </w:rPr>
        <w:t>采购文件</w:t>
      </w:r>
      <w:r>
        <w:rPr>
          <w:rFonts w:hint="eastAsia" w:ascii="宋体" w:hAnsi="宋体" w:eastAsia="宋体" w:cs="宋体"/>
          <w:sz w:val="24"/>
          <w:szCs w:val="24"/>
          <w:highlight w:val="none"/>
          <w:lang w:val="en-US" w:eastAsia="zh-CN"/>
        </w:rPr>
        <w:t>及现场踏勘</w:t>
      </w:r>
      <w:r>
        <w:rPr>
          <w:rFonts w:hint="eastAsia" w:ascii="宋体" w:hAnsi="宋体" w:eastAsia="宋体" w:cs="宋体"/>
          <w:sz w:val="24"/>
          <w:szCs w:val="24"/>
          <w:highlight w:val="none"/>
        </w:rPr>
        <w:t>，我方愿以人民币</w:t>
      </w:r>
      <w:r>
        <w:rPr>
          <w:rFonts w:hint="eastAsia" w:ascii="宋体" w:hAnsi="宋体" w:eastAsia="宋体" w:cs="宋体"/>
          <w:sz w:val="24"/>
          <w:szCs w:val="24"/>
          <w:highlight w:val="none"/>
          <w:u w:val="single"/>
        </w:rPr>
        <w:t>（大写）（小写）</w:t>
      </w:r>
      <w:r>
        <w:rPr>
          <w:rFonts w:hint="eastAsia" w:ascii="宋体" w:hAnsi="宋体" w:eastAsia="宋体" w:cs="宋体"/>
          <w:sz w:val="24"/>
          <w:szCs w:val="24"/>
          <w:highlight w:val="none"/>
          <w:u w:val="single"/>
          <w:lang w:val="en-US" w:eastAsia="zh-CN"/>
        </w:rPr>
        <w:t>元</w:t>
      </w:r>
      <w:r>
        <w:rPr>
          <w:rFonts w:hint="eastAsia" w:ascii="宋体" w:hAnsi="宋体" w:eastAsia="宋体" w:cs="宋体"/>
          <w:sz w:val="24"/>
          <w:szCs w:val="24"/>
          <w:highlight w:val="none"/>
        </w:rPr>
        <w:t>的总价</w:t>
      </w:r>
      <w:r>
        <w:rPr>
          <w:rFonts w:hint="eastAsia" w:ascii="宋体" w:hAnsi="宋体" w:eastAsia="宋体" w:cs="宋体"/>
          <w:b/>
          <w:bCs/>
          <w:sz w:val="24"/>
          <w:szCs w:val="24"/>
          <w:highlight w:val="none"/>
          <w:lang w:val="en-US" w:eastAsia="zh-CN"/>
        </w:rPr>
        <w:t>（不含税）</w:t>
      </w:r>
      <w:r>
        <w:rPr>
          <w:rFonts w:hint="eastAsia" w:ascii="宋体" w:hAnsi="宋体" w:eastAsia="宋体" w:cs="宋体"/>
          <w:sz w:val="24"/>
          <w:szCs w:val="24"/>
          <w:highlight w:val="none"/>
        </w:rPr>
        <w:t>承担本项目所有内容。</w:t>
      </w:r>
    </w:p>
    <w:p w14:paraId="4D5D6D74">
      <w:pPr>
        <w:pStyle w:val="8"/>
        <w:spacing w:line="480" w:lineRule="exact"/>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2.</w:t>
      </w:r>
      <w:r>
        <w:rPr>
          <w:rFonts w:hint="eastAsia" w:ascii="宋体" w:hAnsi="宋体" w:eastAsia="宋体" w:cs="宋体"/>
          <w:sz w:val="24"/>
          <w:szCs w:val="24"/>
          <w:highlight w:val="none"/>
        </w:rPr>
        <w:t>一旦我方</w:t>
      </w:r>
      <w:r>
        <w:rPr>
          <w:rFonts w:hint="eastAsia" w:ascii="宋体" w:hAnsi="宋体" w:eastAsia="宋体" w:cs="宋体"/>
          <w:sz w:val="24"/>
          <w:szCs w:val="24"/>
          <w:highlight w:val="none"/>
          <w:lang w:eastAsia="zh-CN"/>
        </w:rPr>
        <w:t>成交</w:t>
      </w:r>
      <w:r>
        <w:rPr>
          <w:rFonts w:hint="eastAsia" w:ascii="宋体" w:hAnsi="宋体" w:eastAsia="宋体" w:cs="宋体"/>
          <w:sz w:val="24"/>
          <w:szCs w:val="24"/>
          <w:highlight w:val="none"/>
        </w:rPr>
        <w:t>，我方保证按</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要求的服务期限和质量标准完成任务。</w:t>
      </w:r>
    </w:p>
    <w:p w14:paraId="068A697F">
      <w:pPr>
        <w:pStyle w:val="8"/>
        <w:spacing w:line="480" w:lineRule="exact"/>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3.</w:t>
      </w:r>
      <w:r>
        <w:rPr>
          <w:rFonts w:hint="eastAsia" w:ascii="宋体" w:hAnsi="宋体" w:eastAsia="宋体" w:cs="宋体"/>
          <w:sz w:val="24"/>
          <w:szCs w:val="24"/>
          <w:highlight w:val="none"/>
        </w:rPr>
        <w:t>如果我方</w:t>
      </w:r>
      <w:r>
        <w:rPr>
          <w:rFonts w:hint="eastAsia" w:ascii="宋体" w:hAnsi="宋体" w:eastAsia="宋体" w:cs="宋体"/>
          <w:sz w:val="24"/>
          <w:szCs w:val="24"/>
          <w:highlight w:val="none"/>
          <w:lang w:eastAsia="zh-CN"/>
        </w:rPr>
        <w:t>成交</w:t>
      </w:r>
      <w:r>
        <w:rPr>
          <w:rFonts w:hint="eastAsia" w:ascii="宋体" w:hAnsi="宋体" w:eastAsia="宋体" w:cs="宋体"/>
          <w:sz w:val="24"/>
          <w:szCs w:val="24"/>
          <w:highlight w:val="none"/>
        </w:rPr>
        <w:t>，我方保证做到：绝不违法分包、转包，并严格按照</w:t>
      </w:r>
      <w:r>
        <w:rPr>
          <w:rFonts w:hint="eastAsia" w:ascii="宋体" w:hAnsi="宋体" w:eastAsia="宋体" w:cs="宋体"/>
          <w:sz w:val="24"/>
          <w:szCs w:val="24"/>
          <w:highlight w:val="none"/>
          <w:lang w:eastAsia="zh-CN"/>
        </w:rPr>
        <w:t>采购文件</w:t>
      </w:r>
      <w:r>
        <w:rPr>
          <w:rFonts w:hint="eastAsia" w:ascii="宋体" w:hAnsi="宋体" w:eastAsia="宋体" w:cs="宋体"/>
          <w:sz w:val="24"/>
          <w:szCs w:val="24"/>
          <w:highlight w:val="none"/>
        </w:rPr>
        <w:t>的要求完成任务。否则愿接受合同违约索赔和监管部门按规定进行的处理。</w:t>
      </w:r>
    </w:p>
    <w:p w14:paraId="1CC78FF8">
      <w:pPr>
        <w:pStyle w:val="8"/>
        <w:spacing w:line="480" w:lineRule="exact"/>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4.</w:t>
      </w:r>
      <w:r>
        <w:rPr>
          <w:rFonts w:hint="eastAsia" w:ascii="宋体" w:hAnsi="宋体" w:eastAsia="宋体" w:cs="宋体"/>
          <w:sz w:val="24"/>
          <w:szCs w:val="24"/>
          <w:highlight w:val="none"/>
        </w:rPr>
        <w:t>我单位充分理解本项目实施时间的实际情况，确认本</w:t>
      </w:r>
      <w:r>
        <w:rPr>
          <w:rFonts w:hint="eastAsia" w:ascii="宋体" w:hAnsi="宋体" w:eastAsia="宋体" w:cs="宋体"/>
          <w:sz w:val="24"/>
          <w:szCs w:val="24"/>
          <w:highlight w:val="none"/>
          <w:lang w:eastAsia="zh-CN"/>
        </w:rPr>
        <w:t>采购文件</w:t>
      </w:r>
      <w:r>
        <w:rPr>
          <w:rFonts w:hint="eastAsia" w:ascii="宋体" w:hAnsi="宋体" w:eastAsia="宋体" w:cs="宋体"/>
          <w:sz w:val="24"/>
          <w:szCs w:val="24"/>
          <w:highlight w:val="none"/>
        </w:rPr>
        <w:t>确定的投标截止、开标时间不影响我单位正常的报价。</w:t>
      </w:r>
    </w:p>
    <w:p w14:paraId="16103406">
      <w:pPr>
        <w:pStyle w:val="8"/>
        <w:spacing w:line="480" w:lineRule="exact"/>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5.</w:t>
      </w:r>
      <w:r>
        <w:rPr>
          <w:rFonts w:hint="eastAsia" w:ascii="宋体" w:hAnsi="宋体" w:eastAsia="宋体" w:cs="宋体"/>
          <w:sz w:val="24"/>
          <w:szCs w:val="24"/>
          <w:highlight w:val="none"/>
        </w:rPr>
        <w:t>除非另外达成协议并生效，你方的</w:t>
      </w:r>
      <w:r>
        <w:rPr>
          <w:rFonts w:hint="eastAsia" w:ascii="宋体" w:hAnsi="宋体" w:eastAsia="宋体" w:cs="宋体"/>
          <w:sz w:val="24"/>
          <w:szCs w:val="24"/>
          <w:highlight w:val="none"/>
          <w:lang w:eastAsia="zh-CN"/>
        </w:rPr>
        <w:t>成交</w:t>
      </w:r>
      <w:r>
        <w:rPr>
          <w:rFonts w:hint="eastAsia" w:ascii="宋体" w:hAnsi="宋体" w:eastAsia="宋体" w:cs="宋体"/>
          <w:sz w:val="24"/>
          <w:szCs w:val="24"/>
          <w:highlight w:val="none"/>
        </w:rPr>
        <w:t>通知书和本</w:t>
      </w:r>
      <w:r>
        <w:rPr>
          <w:rFonts w:hint="eastAsia" w:ascii="宋体" w:hAnsi="宋体" w:eastAsia="宋体" w:cs="宋体"/>
          <w:sz w:val="24"/>
          <w:szCs w:val="24"/>
          <w:highlight w:val="none"/>
          <w:lang w:eastAsia="zh-CN"/>
        </w:rPr>
        <w:t>响应文件</w:t>
      </w:r>
      <w:r>
        <w:rPr>
          <w:rFonts w:hint="eastAsia" w:ascii="宋体" w:hAnsi="宋体" w:eastAsia="宋体" w:cs="宋体"/>
          <w:sz w:val="24"/>
          <w:szCs w:val="24"/>
          <w:highlight w:val="none"/>
        </w:rPr>
        <w:t>将构成约束我们双方的合同。</w:t>
      </w:r>
    </w:p>
    <w:p w14:paraId="74AAFBDE">
      <w:pPr>
        <w:spacing w:line="48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6.</w:t>
      </w:r>
      <w:r>
        <w:rPr>
          <w:rFonts w:hint="eastAsia" w:ascii="宋体" w:hAnsi="宋体" w:eastAsia="宋体" w:cs="宋体"/>
          <w:sz w:val="24"/>
          <w:szCs w:val="24"/>
          <w:highlight w:val="none"/>
        </w:rPr>
        <w:t>在此我方郑重承诺：我方将按照</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的要求提供高质量的服务。</w:t>
      </w:r>
    </w:p>
    <w:p w14:paraId="28860765">
      <w:pPr>
        <w:spacing w:line="480" w:lineRule="exact"/>
        <w:ind w:firstLine="480" w:firstLineChars="200"/>
        <w:rPr>
          <w:rFonts w:hint="eastAsia" w:ascii="宋体" w:hAnsi="宋体" w:eastAsia="宋体" w:cs="宋体"/>
          <w:sz w:val="24"/>
          <w:szCs w:val="24"/>
          <w:highlight w:val="none"/>
        </w:rPr>
      </w:pPr>
    </w:p>
    <w:p w14:paraId="517A4AD6">
      <w:pPr>
        <w:spacing w:line="48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rPr>
        <w:t>：（盖章）</w:t>
      </w:r>
    </w:p>
    <w:p w14:paraId="5D562634">
      <w:pPr>
        <w:spacing w:line="480" w:lineRule="exact"/>
        <w:ind w:firstLine="480" w:firstLineChars="200"/>
        <w:rPr>
          <w:rFonts w:hint="eastAsia" w:ascii="宋体" w:hAnsi="宋体" w:eastAsia="宋体" w:cs="宋体"/>
          <w:sz w:val="24"/>
          <w:szCs w:val="24"/>
          <w:highlight w:val="none"/>
        </w:rPr>
      </w:pPr>
    </w:p>
    <w:p w14:paraId="7B67145B">
      <w:pPr>
        <w:spacing w:line="48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法定代表人或授权代理人（签字或印鉴）：</w:t>
      </w:r>
    </w:p>
    <w:p w14:paraId="45B99B82">
      <w:pPr>
        <w:spacing w:line="440" w:lineRule="exact"/>
        <w:ind w:firstLine="480" w:firstLineChars="200"/>
        <w:jc w:val="right"/>
        <w:rPr>
          <w:rFonts w:hint="eastAsia" w:ascii="宋体" w:hAnsi="宋体" w:eastAsia="宋体" w:cs="宋体"/>
          <w:sz w:val="24"/>
          <w:szCs w:val="24"/>
          <w:highlight w:val="none"/>
        </w:rPr>
      </w:pPr>
    </w:p>
    <w:p w14:paraId="528FAC07">
      <w:pPr>
        <w:spacing w:line="440" w:lineRule="exact"/>
        <w:ind w:firstLine="480" w:firstLineChars="200"/>
        <w:jc w:val="right"/>
        <w:rPr>
          <w:rFonts w:hint="eastAsia" w:ascii="宋体" w:hAnsi="宋体" w:eastAsia="宋体" w:cs="宋体"/>
          <w:sz w:val="24"/>
          <w:szCs w:val="24"/>
          <w:highlight w:val="none"/>
        </w:rPr>
      </w:pPr>
    </w:p>
    <w:p w14:paraId="6E1AB700">
      <w:pPr>
        <w:spacing w:line="440" w:lineRule="exact"/>
        <w:ind w:firstLine="480" w:firstLineChars="200"/>
        <w:jc w:val="right"/>
        <w:rPr>
          <w:rFonts w:hint="eastAsia" w:ascii="宋体" w:hAnsi="宋体" w:eastAsia="宋体" w:cs="宋体"/>
          <w:sz w:val="24"/>
          <w:szCs w:val="24"/>
          <w:highlight w:val="none"/>
        </w:rPr>
      </w:pPr>
      <w:r>
        <w:rPr>
          <w:rFonts w:hint="eastAsia" w:ascii="宋体" w:hAnsi="宋体" w:eastAsia="宋体" w:cs="宋体"/>
          <w:sz w:val="24"/>
          <w:szCs w:val="24"/>
          <w:highlight w:val="none"/>
        </w:rPr>
        <w:t>日    期：        年    月    日</w:t>
      </w:r>
    </w:p>
    <w:p w14:paraId="63151E8F">
      <w:pPr>
        <w:spacing w:line="360" w:lineRule="auto"/>
        <w:rPr>
          <w:rFonts w:hint="eastAsia" w:ascii="宋体" w:hAnsi="宋体" w:cs="宋体"/>
          <w:sz w:val="24"/>
        </w:rPr>
      </w:pPr>
    </w:p>
    <w:sectPr>
      <w:footerReference r:id="rId12" w:type="first"/>
      <w:headerReference r:id="rId10" w:type="default"/>
      <w:footerReference r:id="rId11" w:type="default"/>
      <w:pgSz w:w="11907" w:h="16840"/>
      <w:pgMar w:top="1440" w:right="1559" w:bottom="1440" w:left="1559" w:header="851" w:footer="907" w:gutter="0"/>
      <w:cols w:space="720" w:num="1"/>
      <w:rtlGutter w:val="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幼圆">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monospace">
    <w:altName w:val="微软雅黑"/>
    <w:panose1 w:val="00000000000000000000"/>
    <w:charset w:val="00"/>
    <w:family w:val="auto"/>
    <w:pitch w:val="default"/>
    <w:sig w:usb0="00000000" w:usb1="00000000" w:usb2="00000000" w:usb3="00000000" w:csb0="00040001" w:csb1="00000000"/>
  </w:font>
  <w:font w:name="Calibri-Bold">
    <w:altName w:val="Times New Roman"/>
    <w:panose1 w:val="00000000000000000000"/>
    <w:charset w:val="00"/>
    <w:family w:val="roman"/>
    <w:pitch w:val="default"/>
    <w:sig w:usb0="00000000" w:usb1="00000000" w:usb2="00000000"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方正楷体_GBK">
    <w:panose1 w:val="03000509000000000000"/>
    <w:charset w:val="86"/>
    <w:family w:val="script"/>
    <w:pitch w:val="default"/>
    <w:sig w:usb0="00000001" w:usb1="080E0000" w:usb2="00000000" w:usb3="00000000" w:csb0="00040000" w:csb1="00000000"/>
  </w:font>
  <w:font w:name="Book Antiqua">
    <w:panose1 w:val="02040602050305030304"/>
    <w:charset w:val="00"/>
    <w:family w:val="roman"/>
    <w:pitch w:val="default"/>
    <w:sig w:usb0="00000287"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2CA68">
    <w:pPr>
      <w:pStyle w:val="2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F3D41A">
                          <w:pPr>
                            <w:pStyle w:val="22"/>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jwVlMkBAACZ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gIljlsc+Pnnj/Ovx/PDd/I2&#10;y9MHqDHrLmBeGt77IadOfkBnZj2oaPMX+RCMo7ini7hySETkR6vlalVhSGBsviAOe3oeIqQP0luS&#10;jYZGnF4RlR8/QRpT55RczflbbQz6eW3cXw7EzB6Wex97zFYadsPU+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iPBWUyQEAAJkDAAAOAAAAAAAAAAEAIAAAAB4BAABkcnMvZTJvRG9j&#10;LnhtbFBLBQYAAAAABgAGAFkBAABZBQAAAAA=&#10;">
              <v:fill on="f" focussize="0,0"/>
              <v:stroke on="f"/>
              <v:imagedata o:title=""/>
              <o:lock v:ext="edit" aspectratio="f"/>
              <v:textbox inset="0mm,0mm,0mm,0mm" style="mso-fit-shape-to-text:t;">
                <w:txbxContent>
                  <w:p w14:paraId="12F3D41A">
                    <w:pPr>
                      <w:pStyle w:val="22"/>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9C89C">
    <w:pPr>
      <w:pStyle w:val="2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3E485B">
                          <w:pPr>
                            <w:pStyle w:val="2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sbe8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dE2J4xYHfvnx/fLz9+XXN1Jn&#10;eYYADWbdB8xL41s/4tIsfkBnZj2qaPMX+RCMo7jnq7hyTETkR/W6ri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qsbe8cBAACZAwAADgAAAAAAAAABACAAAAAeAQAAZHJzL2Uyb0RvYy54&#10;bWxQSwUGAAAAAAYABgBZAQAAVwUAAAAA&#10;">
              <v:fill on="f" focussize="0,0"/>
              <v:stroke on="f"/>
              <v:imagedata o:title=""/>
              <o:lock v:ext="edit" aspectratio="f"/>
              <v:textbox inset="0mm,0mm,0mm,0mm" style="mso-fit-shape-to-text:t;">
                <w:txbxContent>
                  <w:p w14:paraId="423E485B">
                    <w:pPr>
                      <w:pStyle w:val="2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8FBD5">
    <w:pPr>
      <w:pStyle w:val="22"/>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2BEBD5">
                          <w:pPr>
                            <w:pStyle w:val="22"/>
                            <w:rPr>
                              <w:rFonts w:hint="eastAsia" w:eastAsia="宋体"/>
                              <w:lang w:eastAsia="zh-CN"/>
                            </w:rPr>
                          </w:pPr>
                          <w:r>
                            <w:rPr>
                              <w:rFonts w:hint="eastAsia" w:eastAsia="宋体"/>
                              <w:lang w:eastAsia="zh-CN"/>
                            </w:rPr>
                            <w:t xml:space="preserve">第 </w:t>
                          </w: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w:t>
                          </w:r>
                          <w:r>
                            <w:rPr>
                              <w:rFonts w:hint="eastAsia" w:eastAsia="宋体"/>
                              <w:lang w:eastAsia="zh-CN"/>
                            </w:rPr>
                            <w:fldChar w:fldCharType="end"/>
                          </w:r>
                          <w:r>
                            <w:rPr>
                              <w:rFonts w:hint="eastAsia" w:eastAsia="宋体"/>
                              <w:lang w:eastAsia="zh-CN"/>
                            </w:rPr>
                            <w:t xml:space="preserve"> 页 共 </w:t>
                          </w:r>
                          <w:r>
                            <w:rPr>
                              <w:rFonts w:hint="eastAsia" w:eastAsia="宋体"/>
                              <w:lang w:eastAsia="zh-CN"/>
                            </w:rPr>
                            <w:fldChar w:fldCharType="begin"/>
                          </w:r>
                          <w:r>
                            <w:rPr>
                              <w:rFonts w:hint="eastAsia" w:eastAsia="宋体"/>
                              <w:lang w:eastAsia="zh-CN"/>
                            </w:rPr>
                            <w:instrText xml:space="preserve"> NUMPAGES  \* MERGEFORMAT </w:instrText>
                          </w:r>
                          <w:r>
                            <w:rPr>
                              <w:rFonts w:hint="eastAsia" w:eastAsia="宋体"/>
                              <w:lang w:eastAsia="zh-CN"/>
                            </w:rPr>
                            <w:fldChar w:fldCharType="separate"/>
                          </w:r>
                          <w:r>
                            <w:rPr>
                              <w:rFonts w:hint="eastAsia" w:eastAsia="宋体"/>
                              <w:lang w:eastAsia="zh-CN"/>
                            </w:rPr>
                            <w:t>99</w:t>
                          </w:r>
                          <w:r>
                            <w:rPr>
                              <w:rFonts w:hint="eastAsia" w:eastAsia="宋体"/>
                              <w:lang w:eastAsia="zh-CN"/>
                            </w:rPr>
                            <w:fldChar w:fldCharType="end"/>
                          </w:r>
                          <w:r>
                            <w:rPr>
                              <w:rFonts w:hint="eastAsia" w:eastAsia="宋体"/>
                              <w:lang w:eastAsia="zh-CN"/>
                            </w:rPr>
                            <w:t xml:space="preserve"> 页</w:t>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dgpO90BAAC/AwAADgAAAGRycy9lMm9Eb2MueG1srVPNjtMwEL4j8Q6W&#10;7zTZHlAVNV0tVIuQECAtPIDrOI0l/8kzbVIeAN6AExfuPFefg7GTdJflsoe9JOPx+Jvv+zxeXw/W&#10;sKOKoL2r+dWi5Ew56Rvt9jX/+uX21YozQOEaYbxTNT8p4Nebly/WfajU0nfeNCoyAnFQ9aHmHWKo&#10;igJkp6yAhQ/K0WbroxVIy7gvmih6QremWJbl66L3sQnRSwVA2e24ySfE+BRA37Zaqq2XB6scjqhR&#10;GYEkCTodgG8y27ZVEj+1LShkpuakFPOXmlC8S99isxbVPorQaTlREE+h8EiTFdpR0wvUVqBgh6j/&#10;g7JaRg++xYX0thiFZEdIxVX5yJu7TgSVtZDVEC6mw/PByo/Hz5HphiaBLHHC0o2ff/44//pz/v2d&#10;LZM/fYCKyu4CFeLwxg9UO+eBkkn20Eab/iSI0T5BnS7uqgGZTIdWy9WqpC1Je/OC8Iv74yECvlPe&#10;shTUPNL1ZVfF8QPgWDqXpG7O32pj8hUa90+CMFOmSNxHjinCYTdMgna+OZEeegfUp/PxG2c9TUHN&#10;HQ09Z+a9I5OJK85BnIPdHAgn6WDNkbMxfIvjYB1C1Psuj1oiBeHmgMQ0C0g0xt4TO7rXbME0g2lw&#10;Hq5z1f272/w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KnYKTvdAQAAvwMAAA4AAAAAAAAA&#10;AQAgAAAAHgEAAGRycy9lMm9Eb2MueG1sUEsFBgAAAAAGAAYAWQEAAG0FAAAAAA==&#10;">
              <v:fill on="f" focussize="0,0"/>
              <v:stroke on="f"/>
              <v:imagedata o:title=""/>
              <o:lock v:ext="edit" aspectratio="f"/>
              <v:textbox inset="0mm,0mm,0mm,0mm" style="mso-fit-shape-to-text:t;">
                <w:txbxContent>
                  <w:p w14:paraId="662BEBD5">
                    <w:pPr>
                      <w:pStyle w:val="22"/>
                      <w:rPr>
                        <w:rFonts w:hint="eastAsia" w:eastAsia="宋体"/>
                        <w:lang w:eastAsia="zh-CN"/>
                      </w:rPr>
                    </w:pPr>
                    <w:r>
                      <w:rPr>
                        <w:rFonts w:hint="eastAsia" w:eastAsia="宋体"/>
                        <w:lang w:eastAsia="zh-CN"/>
                      </w:rPr>
                      <w:t xml:space="preserve">第 </w:t>
                    </w: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w:t>
                    </w:r>
                    <w:r>
                      <w:rPr>
                        <w:rFonts w:hint="eastAsia" w:eastAsia="宋体"/>
                        <w:lang w:eastAsia="zh-CN"/>
                      </w:rPr>
                      <w:fldChar w:fldCharType="end"/>
                    </w:r>
                    <w:r>
                      <w:rPr>
                        <w:rFonts w:hint="eastAsia" w:eastAsia="宋体"/>
                        <w:lang w:eastAsia="zh-CN"/>
                      </w:rPr>
                      <w:t xml:space="preserve"> 页 共 </w:t>
                    </w:r>
                    <w:r>
                      <w:rPr>
                        <w:rFonts w:hint="eastAsia" w:eastAsia="宋体"/>
                        <w:lang w:eastAsia="zh-CN"/>
                      </w:rPr>
                      <w:fldChar w:fldCharType="begin"/>
                    </w:r>
                    <w:r>
                      <w:rPr>
                        <w:rFonts w:hint="eastAsia" w:eastAsia="宋体"/>
                        <w:lang w:eastAsia="zh-CN"/>
                      </w:rPr>
                      <w:instrText xml:space="preserve"> NUMPAGES  \* MERGEFORMAT </w:instrText>
                    </w:r>
                    <w:r>
                      <w:rPr>
                        <w:rFonts w:hint="eastAsia" w:eastAsia="宋体"/>
                        <w:lang w:eastAsia="zh-CN"/>
                      </w:rPr>
                      <w:fldChar w:fldCharType="separate"/>
                    </w:r>
                    <w:r>
                      <w:rPr>
                        <w:rFonts w:hint="eastAsia" w:eastAsia="宋体"/>
                        <w:lang w:eastAsia="zh-CN"/>
                      </w:rPr>
                      <w:t>99</w:t>
                    </w:r>
                    <w:r>
                      <w:rPr>
                        <w:rFonts w:hint="eastAsia" w:eastAsia="宋体"/>
                        <w:lang w:eastAsia="zh-CN"/>
                      </w:rPr>
                      <w:fldChar w:fldCharType="end"/>
                    </w:r>
                    <w:r>
                      <w:rPr>
                        <w:rFonts w:hint="eastAsia" w:eastAsia="宋体"/>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F35FE">
    <w:pPr>
      <w:pStyle w:val="22"/>
      <w:framePr w:wrap="around" w:vAnchor="text" w:hAnchor="margin" w:xAlign="center" w:y="1"/>
      <w:rPr>
        <w:rStyle w:val="43"/>
      </w:rPr>
    </w:pPr>
    <w:r>
      <w:fldChar w:fldCharType="begin"/>
    </w:r>
    <w:r>
      <w:rPr>
        <w:rStyle w:val="43"/>
      </w:rPr>
      <w:instrText xml:space="preserve">PAGE  </w:instrText>
    </w:r>
    <w:r>
      <w:fldChar w:fldCharType="separate"/>
    </w:r>
    <w:r>
      <w:fldChar w:fldCharType="end"/>
    </w:r>
  </w:p>
  <w:p w14:paraId="0445B37E">
    <w:pPr>
      <w:pStyle w:val="2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36B16">
    <w:pPr>
      <w:pStyle w:val="2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AF1499">
                          <w:pPr>
                            <w:pStyle w:val="22"/>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kVl8cBAACaAwAADgAAAGRycy9lMm9Eb2MueG1srVNNrtMwEN4jcQfL&#10;e+q0SKiKmj6BqoeQECA9OIDr2I0l/8njNukF4Aas2LDnXD0HYydp4bF5CzbOeGb8zXzfTDZ3gzXk&#10;JCNo7xq6XFSUSCd8q92hoV8+379YUwKJu5Yb72RDzxLo3fb5s00farnynTetjARBHNR9aGiXUqgZ&#10;A9FJy2Hhg3QYVD5anvAaD6yNvEd0a9iqql6x3sc2RC8kAHp3Y5BOiPEpgF4pLeTOi6OVLo2oURqe&#10;kBJ0OgDdlm6VkiJ9VApkIqahyDSVE4ugvc8n2254fYg8dFpMLfCntPCIk+XaYdEr1I4nTo5R/wNl&#10;tYgevEoL4S0biRRFkMWyeqTNQ8eDLFxQaghX0eH/wYoPp0+R6LahLylx3OLAL9+/XX78uvz8SpZF&#10;nz5AjWkPARPT8MYPuDVZt+wHdGbag4o2f5EQwTiqe76qK4dERH60Xq3XFYYExuYL4rDb8xAhvZXe&#10;kmw0NOL4iqr89B7SmDqn5GrO32tjygiN+8uBmNnDbj1mKw37YWp879sz8ulx8g11uOiUmHcOhc1L&#10;MhtxNvazcQxRH7qyRbkehNfHhE2U3nKFEXYqjCMr7Kb1yjvx571k3X6p7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VkVl8cBAACaAwAADgAAAAAAAAABACAAAAAeAQAAZHJzL2Uyb0RvYy54&#10;bWxQSwUGAAAAAAYABgBZAQAAVwUAAAAA&#10;">
              <v:fill on="f" focussize="0,0"/>
              <v:stroke on="f"/>
              <v:imagedata o:title=""/>
              <o:lock v:ext="edit" aspectratio="f"/>
              <v:textbox inset="0mm,0mm,0mm,0mm" style="mso-fit-shape-to-text:t;">
                <w:txbxContent>
                  <w:p w14:paraId="27AF1499">
                    <w:pPr>
                      <w:pStyle w:val="22"/>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CC0C0">
    <w:pPr>
      <w:pStyle w:val="22"/>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AC3B14">
                          <w:pPr>
                            <w:pStyle w:val="22"/>
                          </w:pPr>
                          <w:r>
                            <w:fldChar w:fldCharType="begin"/>
                          </w:r>
                          <w:r>
                            <w:instrText xml:space="preserve"> PAGE  \* MERGEFORMAT </w:instrText>
                          </w:r>
                          <w:r>
                            <w:fldChar w:fldCharType="separate"/>
                          </w:r>
                          <w:r>
                            <w:t>4</w:t>
                          </w:r>
                          <w:r>
                            <w:fldChar w:fldCharType="end"/>
                          </w:r>
                        </w:p>
                      </w:txbxContent>
                    </wps:txbx>
                    <wps:bodyPr wrap="none" lIns="0" tIns="0" rIns="0" bIns="0" upright="0">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or8EMkBAACaAwAADgAAAGRycy9lMm9Eb2MueG1srVPNjtMwEL4j8Q6W&#10;79RpD1BF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4b+oYSxy0O/PL92+XHr8vPr2S5&#10;zPr0AWpMewiYmIY7P+DWzH5AZ6Y9qGjzFwkRjKO656u6ckhE5Efr1XpdYUhgbL4gPnt8HiKkt9Jb&#10;ko2GRhxfUZWf3kMaU+eUXM35e21MGaFxfzkQM3tY7n3sMVtp2A8Tob1vz8inx8k31OGiU2LeORQ2&#10;L8lsxNnYz8YxRH3oyhblehBujwmbKL3lCiPsVBhHVthN65V34s97yXr8pb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eivwQyQEAAJoDAAAOAAAAAAAAAAEAIAAAAB4BAABkcnMvZTJvRG9j&#10;LnhtbFBLBQYAAAAABgAGAFkBAABZBQAAAAA=&#10;">
              <v:fill on="f" focussize="0,0"/>
              <v:stroke on="f"/>
              <v:imagedata o:title=""/>
              <o:lock v:ext="edit" aspectratio="f"/>
              <v:textbox inset="0mm,0mm,0mm,0mm" style="mso-fit-shape-to-text:t;">
                <w:txbxContent>
                  <w:p w14:paraId="43AC3B14">
                    <w:pPr>
                      <w:pStyle w:val="22"/>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9D609">
    <w:pPr>
      <w:pStyle w:val="22"/>
      <w:tabs>
        <w:tab w:val="center" w:pos="4394"/>
        <w:tab w:val="clear" w:pos="4153"/>
      </w:tabs>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4C6408">
                          <w:pPr>
                            <w:pStyle w:val="22"/>
                          </w:pPr>
                          <w:r>
                            <w:fldChar w:fldCharType="begin"/>
                          </w:r>
                          <w:r>
                            <w:instrText xml:space="preserve"> PAGE  \* MERGEFORMAT </w:instrText>
                          </w:r>
                          <w:r>
                            <w:fldChar w:fldCharType="separate"/>
                          </w:r>
                          <w:r>
                            <w:t>28</w:t>
                          </w:r>
                          <w:r>
                            <w:fldChar w:fldCharType="end"/>
                          </w:r>
                        </w:p>
                      </w:txbxContent>
                    </wps:txbx>
                    <wps:bodyPr wrap="none" lIns="0" tIns="0" rIns="0" bIns="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Pe5FskBAACaAwAADgAAAGRycy9lMm9Eb2MueG1srVPNjtMwEL4j8Q6W&#10;79RpkVCJ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vqbEcYsDv3z/dvnx6/LzK1m+&#10;zPr0AWpMuwuYmIa3fsCtmf2Azkx7UNHmLxIiGEd1z1d15ZCIyI/Wq/W6wpDA2HxBfPbwPERI76S3&#10;JBsNjTi+oio/fYA0ps4puZrzt9qYMkLj/nIgZvaw3PvYY7bSsB8mQnvfnpFPj5NvqMNFp8S8dyhs&#10;XpLZiLOxn41jiPrQlS3K9SC8OSZsovSWK4ywU2EcWWE3rVfeiT/vJevhl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k97kWyQEAAJoDAAAOAAAAAAAAAAEAIAAAAB4BAABkcnMvZTJvRG9j&#10;LnhtbFBLBQYAAAAABgAGAFkBAABZBQAAAAA=&#10;">
              <v:fill on="f" focussize="0,0"/>
              <v:stroke on="f"/>
              <v:imagedata o:title=""/>
              <o:lock v:ext="edit" aspectratio="f"/>
              <v:textbox inset="0mm,0mm,0mm,0mm" style="mso-fit-shape-to-text:t;">
                <w:txbxContent>
                  <w:p w14:paraId="784C6408">
                    <w:pPr>
                      <w:pStyle w:val="22"/>
                    </w:pPr>
                    <w:r>
                      <w:fldChar w:fldCharType="begin"/>
                    </w:r>
                    <w:r>
                      <w:instrText xml:space="preserve"> PAGE  \* MERGEFORMAT </w:instrText>
                    </w:r>
                    <w:r>
                      <w:fldChar w:fldCharType="separate"/>
                    </w:r>
                    <w:r>
                      <w:t>28</w:t>
                    </w:r>
                    <w:r>
                      <w:fldChar w:fldCharType="end"/>
                    </w:r>
                  </w:p>
                </w:txbxContent>
              </v:textbox>
            </v:shape>
          </w:pict>
        </mc:Fallback>
      </mc:AlternateContent>
    </w:r>
    <w:r>
      <w:rPr>
        <w:rFonts w:hint="eastAsia"/>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3EB0B">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D3BCA">
    <w:pPr>
      <w:pStyle w:val="24"/>
      <w:tabs>
        <w:tab w:val="left" w:pos="3565"/>
        <w:tab w:val="clear" w:pos="4153"/>
        <w:tab w:val="clear" w:pos="8306"/>
      </w:tabs>
      <w:rPr>
        <w:rFonts w:hint="eastAsia"/>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52EA3">
    <w:pPr>
      <w:pStyle w:val="2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CE32CA"/>
    <w:multiLevelType w:val="singleLevel"/>
    <w:tmpl w:val="05CE32CA"/>
    <w:lvl w:ilvl="0" w:tentative="0">
      <w:start w:val="1"/>
      <w:numFmt w:val="chineseCounting"/>
      <w:suff w:val="nothing"/>
      <w:lvlText w:val="（%1）"/>
      <w:lvlJc w:val="left"/>
      <w:pPr>
        <w:ind w:left="0" w:firstLine="420"/>
      </w:pPr>
      <w:rPr>
        <w:rFonts w:hint="eastAsia"/>
      </w:rPr>
    </w:lvl>
  </w:abstractNum>
  <w:abstractNum w:abstractNumId="1">
    <w:nsid w:val="06784D56"/>
    <w:multiLevelType w:val="singleLevel"/>
    <w:tmpl w:val="06784D56"/>
    <w:lvl w:ilvl="0" w:tentative="0">
      <w:start w:val="1"/>
      <w:numFmt w:val="upperLetter"/>
      <w:pStyle w:val="96"/>
      <w:lvlText w:val="附录%1."/>
      <w:lvlJc w:val="left"/>
      <w:pPr>
        <w:tabs>
          <w:tab w:val="left" w:pos="907"/>
        </w:tabs>
        <w:ind w:left="907" w:hanging="907"/>
      </w:pPr>
      <w:rPr>
        <w:rFonts w:hint="eastAsia"/>
      </w:rPr>
    </w:lvl>
  </w:abstractNum>
  <w:abstractNum w:abstractNumId="2">
    <w:nsid w:val="237E4D61"/>
    <w:multiLevelType w:val="multilevel"/>
    <w:tmpl w:val="237E4D61"/>
    <w:lvl w:ilvl="0" w:tentative="0">
      <w:start w:val="1"/>
      <w:numFmt w:val="japaneseCounting"/>
      <w:pStyle w:val="92"/>
      <w:lvlText w:val="第%1章"/>
      <w:lvlJc w:val="left"/>
      <w:pPr>
        <w:ind w:left="9351" w:hanging="420"/>
      </w:pPr>
      <w:rPr>
        <w:rFonts w:hint="eastAsia" w:ascii="黑体" w:eastAsia="黑体"/>
        <w:b w:val="0"/>
        <w:sz w:val="36"/>
        <w:lang w:val="en-US"/>
      </w:rPr>
    </w:lvl>
    <w:lvl w:ilvl="1" w:tentative="0">
      <w:start w:val="1"/>
      <w:numFmt w:val="decimal"/>
      <w:pStyle w:val="93"/>
      <w:isLgl/>
      <w:lvlText w:val="%1.%2"/>
      <w:lvlJc w:val="left"/>
      <w:pPr>
        <w:tabs>
          <w:tab w:val="left" w:pos="851"/>
        </w:tabs>
        <w:ind w:left="0" w:firstLine="0"/>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tentative="0">
      <w:start w:val="1"/>
      <w:numFmt w:val="decimal"/>
      <w:pStyle w:val="94"/>
      <w:isLgl/>
      <w:lvlText w:val="%1.%2.%3"/>
      <w:lvlJc w:val="left"/>
      <w:pPr>
        <w:tabs>
          <w:tab w:val="left" w:pos="851"/>
        </w:tabs>
        <w:ind w:left="0" w:firstLine="0"/>
      </w:pPr>
      <w:rPr>
        <w:rFonts w:cs="Times New Roman"/>
        <w:b w:val="0"/>
        <w:bCs w:val="0"/>
        <w:i w:val="0"/>
        <w:iCs w:val="0"/>
        <w:caps w:val="0"/>
        <w:smallCaps w:val="0"/>
        <w:strike w:val="0"/>
        <w:dstrike w:val="0"/>
        <w:outline w:val="0"/>
        <w:shadow w:val="0"/>
        <w:emboss w:val="0"/>
        <w:imprint w:val="0"/>
        <w:vanish w:val="0"/>
        <w:color w:val="000000"/>
        <w:spacing w:val="0"/>
        <w:kern w:val="0"/>
        <w:position w:val="0"/>
        <w:u w:val="none"/>
        <w:vertAlign w:val="baseline"/>
      </w:rPr>
    </w:lvl>
    <w:lvl w:ilvl="3" w:tentative="0">
      <w:start w:val="1"/>
      <w:numFmt w:val="decimal"/>
      <w:pStyle w:val="77"/>
      <w:isLgl/>
      <w:lvlText w:val="%1.%2.%3.%4"/>
      <w:lvlJc w:val="left"/>
      <w:pPr>
        <w:tabs>
          <w:tab w:val="left" w:pos="1134"/>
        </w:tabs>
        <w:ind w:left="0" w:firstLine="0"/>
      </w:pPr>
      <w:rPr>
        <w:rFonts w:hint="eastAsia"/>
      </w:rPr>
    </w:lvl>
    <w:lvl w:ilvl="4" w:tentative="0">
      <w:start w:val="1"/>
      <w:numFmt w:val="decimal"/>
      <w:lvlText w:val="%1.%2.%3.%4.%5"/>
      <w:lvlJc w:val="left"/>
      <w:pPr>
        <w:tabs>
          <w:tab w:val="left" w:pos="4850"/>
        </w:tabs>
        <w:ind w:left="4620" w:hanging="850"/>
      </w:pPr>
      <w:rPr>
        <w:rFonts w:hint="eastAsia"/>
      </w:rPr>
    </w:lvl>
    <w:lvl w:ilvl="5" w:tentative="0">
      <w:start w:val="1"/>
      <w:numFmt w:val="decimal"/>
      <w:lvlText w:val="%1.%2.%3.%4.%5.%6"/>
      <w:lvlJc w:val="left"/>
      <w:pPr>
        <w:tabs>
          <w:tab w:val="left" w:pos="5635"/>
        </w:tabs>
        <w:ind w:left="5329" w:hanging="1134"/>
      </w:pPr>
      <w:rPr>
        <w:rFonts w:hint="eastAsia"/>
      </w:rPr>
    </w:lvl>
    <w:lvl w:ilvl="6" w:tentative="0">
      <w:start w:val="1"/>
      <w:numFmt w:val="decimal"/>
      <w:lvlText w:val="%1.%2.%3.%4.%5.%6.%7"/>
      <w:lvlJc w:val="left"/>
      <w:pPr>
        <w:tabs>
          <w:tab w:val="left" w:pos="6420"/>
        </w:tabs>
        <w:ind w:left="5896" w:hanging="1276"/>
      </w:pPr>
      <w:rPr>
        <w:rFonts w:hint="eastAsia"/>
      </w:rPr>
    </w:lvl>
    <w:lvl w:ilvl="7" w:tentative="0">
      <w:start w:val="1"/>
      <w:numFmt w:val="decimal"/>
      <w:lvlText w:val="%1.%2.%3.%4.%5.%6.%7.%8"/>
      <w:lvlJc w:val="left"/>
      <w:pPr>
        <w:tabs>
          <w:tab w:val="left" w:pos="6845"/>
        </w:tabs>
        <w:ind w:left="6463" w:hanging="1418"/>
      </w:pPr>
      <w:rPr>
        <w:rFonts w:hint="eastAsia"/>
      </w:rPr>
    </w:lvl>
    <w:lvl w:ilvl="8" w:tentative="0">
      <w:start w:val="1"/>
      <w:numFmt w:val="decimal"/>
      <w:lvlText w:val="%1.%2.%3.%4.%5.%6.%7.%8.%9"/>
      <w:lvlJc w:val="left"/>
      <w:pPr>
        <w:tabs>
          <w:tab w:val="left" w:pos="7631"/>
        </w:tabs>
        <w:ind w:left="7171" w:hanging="1700"/>
      </w:pPr>
      <w:rPr>
        <w:rFonts w:hint="eastAsia"/>
      </w:rPr>
    </w:lvl>
  </w:abstractNum>
  <w:abstractNum w:abstractNumId="3">
    <w:nsid w:val="60E3FF25"/>
    <w:multiLevelType w:val="multilevel"/>
    <w:tmpl w:val="60E3FF25"/>
    <w:lvl w:ilvl="0" w:tentative="0">
      <w:start w:val="1"/>
      <w:numFmt w:val="decimalEnclosedCircle"/>
      <w:lvlText w:val="%1"/>
      <w:lvlJc w:val="left"/>
      <w:pPr>
        <w:tabs>
          <w:tab w:val="left" w:pos="360"/>
        </w:tabs>
        <w:ind w:left="36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61C2E0D2"/>
    <w:multiLevelType w:val="singleLevel"/>
    <w:tmpl w:val="61C2E0D2"/>
    <w:lvl w:ilvl="0" w:tentative="0">
      <w:start w:val="1"/>
      <w:numFmt w:val="decimal"/>
      <w:suff w:val="nothing"/>
      <w:lvlText w:val="%1."/>
      <w:lvlJc w:val="left"/>
    </w:lvl>
  </w:abstractNum>
  <w:abstractNum w:abstractNumId="5">
    <w:nsid w:val="61C44260"/>
    <w:multiLevelType w:val="singleLevel"/>
    <w:tmpl w:val="61C44260"/>
    <w:lvl w:ilvl="0" w:tentative="0">
      <w:start w:val="3"/>
      <w:numFmt w:val="decimal"/>
      <w:suff w:val="nothing"/>
      <w:lvlText w:val="（%1）"/>
      <w:lvlJc w:val="left"/>
    </w:lvl>
  </w:abstractNum>
  <w:num w:numId="1">
    <w:abstractNumId w:val="2"/>
  </w:num>
  <w:num w:numId="2">
    <w:abstractNumId w:val="1"/>
  </w:num>
  <w:num w:numId="3">
    <w:abstractNumId w:val="5"/>
  </w:num>
  <w:num w:numId="4">
    <w:abstractNumId w:val="4"/>
  </w:num>
  <w:num w:numId="5">
    <w:abstractNumId w:val="0"/>
  </w:num>
  <w:num w:numId="6">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4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EyY2M4YmY0MTc5NWU3YjVkZWIzMjZhNjdkMjBmOGMifQ=="/>
  </w:docVars>
  <w:rsids>
    <w:rsidRoot w:val="00172A27"/>
    <w:rsid w:val="00045768"/>
    <w:rsid w:val="00104A67"/>
    <w:rsid w:val="00145819"/>
    <w:rsid w:val="003C637E"/>
    <w:rsid w:val="005536C1"/>
    <w:rsid w:val="0059234D"/>
    <w:rsid w:val="006364A5"/>
    <w:rsid w:val="007550DF"/>
    <w:rsid w:val="00764936"/>
    <w:rsid w:val="00862990"/>
    <w:rsid w:val="00A275AC"/>
    <w:rsid w:val="00B9294F"/>
    <w:rsid w:val="00C246F1"/>
    <w:rsid w:val="00D91A5E"/>
    <w:rsid w:val="00E77C58"/>
    <w:rsid w:val="00F10C83"/>
    <w:rsid w:val="00F17E52"/>
    <w:rsid w:val="00F67A5A"/>
    <w:rsid w:val="05A14BBC"/>
    <w:rsid w:val="06C75D5D"/>
    <w:rsid w:val="0BBE48F9"/>
    <w:rsid w:val="0C452B1A"/>
    <w:rsid w:val="0C9C428F"/>
    <w:rsid w:val="0CDA0111"/>
    <w:rsid w:val="0D6A47D4"/>
    <w:rsid w:val="0E612FF0"/>
    <w:rsid w:val="0EB03F8E"/>
    <w:rsid w:val="0EC44E50"/>
    <w:rsid w:val="104B5BB3"/>
    <w:rsid w:val="10DB3A4D"/>
    <w:rsid w:val="13952B00"/>
    <w:rsid w:val="13C20EF5"/>
    <w:rsid w:val="15084A68"/>
    <w:rsid w:val="153C564B"/>
    <w:rsid w:val="15B77F45"/>
    <w:rsid w:val="1A227F1E"/>
    <w:rsid w:val="1B214753"/>
    <w:rsid w:val="1B920BFE"/>
    <w:rsid w:val="1C297D63"/>
    <w:rsid w:val="1D516351"/>
    <w:rsid w:val="1DAC292D"/>
    <w:rsid w:val="21134B3E"/>
    <w:rsid w:val="23566F63"/>
    <w:rsid w:val="24CF3471"/>
    <w:rsid w:val="26A81BC8"/>
    <w:rsid w:val="27242226"/>
    <w:rsid w:val="281775DD"/>
    <w:rsid w:val="29166BDD"/>
    <w:rsid w:val="2C3167C0"/>
    <w:rsid w:val="2D0D2D89"/>
    <w:rsid w:val="2DA3542B"/>
    <w:rsid w:val="2E19781C"/>
    <w:rsid w:val="314C72F5"/>
    <w:rsid w:val="31CD3FD2"/>
    <w:rsid w:val="342E4B2C"/>
    <w:rsid w:val="34870379"/>
    <w:rsid w:val="34C65DCC"/>
    <w:rsid w:val="35F12C82"/>
    <w:rsid w:val="364C29CD"/>
    <w:rsid w:val="38082F9B"/>
    <w:rsid w:val="3B975416"/>
    <w:rsid w:val="3BA23236"/>
    <w:rsid w:val="3D3A3B8E"/>
    <w:rsid w:val="3E1E3AF7"/>
    <w:rsid w:val="3E353EED"/>
    <w:rsid w:val="3F3810A1"/>
    <w:rsid w:val="407824D6"/>
    <w:rsid w:val="412219A4"/>
    <w:rsid w:val="41227BAF"/>
    <w:rsid w:val="415311AE"/>
    <w:rsid w:val="415E19AD"/>
    <w:rsid w:val="417967E7"/>
    <w:rsid w:val="426479D7"/>
    <w:rsid w:val="428A301F"/>
    <w:rsid w:val="42970868"/>
    <w:rsid w:val="43D60DB0"/>
    <w:rsid w:val="45B46040"/>
    <w:rsid w:val="473F35D0"/>
    <w:rsid w:val="475176A6"/>
    <w:rsid w:val="47BA642C"/>
    <w:rsid w:val="48CD5C84"/>
    <w:rsid w:val="492B1166"/>
    <w:rsid w:val="4A7D592E"/>
    <w:rsid w:val="4BAF1783"/>
    <w:rsid w:val="4BFC67AA"/>
    <w:rsid w:val="4C222991"/>
    <w:rsid w:val="4D6E4D26"/>
    <w:rsid w:val="4DF41578"/>
    <w:rsid w:val="4E4178F0"/>
    <w:rsid w:val="50103CFD"/>
    <w:rsid w:val="5080549C"/>
    <w:rsid w:val="50B85A99"/>
    <w:rsid w:val="51FF488A"/>
    <w:rsid w:val="54ED072E"/>
    <w:rsid w:val="57465440"/>
    <w:rsid w:val="5AF0321E"/>
    <w:rsid w:val="5B77749C"/>
    <w:rsid w:val="5B9718EC"/>
    <w:rsid w:val="5BDC19F5"/>
    <w:rsid w:val="5BFD4FF9"/>
    <w:rsid w:val="5CC11316"/>
    <w:rsid w:val="5EB21D38"/>
    <w:rsid w:val="61A22D86"/>
    <w:rsid w:val="62051CA5"/>
    <w:rsid w:val="62D445BB"/>
    <w:rsid w:val="64F8366D"/>
    <w:rsid w:val="657D7DA4"/>
    <w:rsid w:val="66F66782"/>
    <w:rsid w:val="68B478E1"/>
    <w:rsid w:val="6AF245CF"/>
    <w:rsid w:val="6BE762AD"/>
    <w:rsid w:val="6E95728B"/>
    <w:rsid w:val="710462CA"/>
    <w:rsid w:val="72434FD8"/>
    <w:rsid w:val="75AD1FE0"/>
    <w:rsid w:val="76191423"/>
    <w:rsid w:val="76382178"/>
    <w:rsid w:val="78857244"/>
    <w:rsid w:val="798B6ADC"/>
    <w:rsid w:val="79C773E8"/>
    <w:rsid w:val="7BCB7664"/>
    <w:rsid w:val="7BD36518"/>
    <w:rsid w:val="7DAA55FB"/>
    <w:rsid w:val="7E1F5A45"/>
    <w:rsid w:val="7EF53E6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qFormat="1" w:uiPriority="99"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6"/>
    <w:qFormat/>
    <w:uiPriority w:val="0"/>
    <w:pPr>
      <w:keepNext/>
      <w:outlineLvl w:val="0"/>
    </w:pPr>
    <w:rPr>
      <w:rFonts w:ascii="楷体_GB2312" w:eastAsia="楷体_GB2312"/>
      <w:sz w:val="28"/>
      <w:szCs w:val="20"/>
    </w:rPr>
  </w:style>
  <w:style w:type="paragraph" w:styleId="2">
    <w:name w:val="heading 2"/>
    <w:basedOn w:val="1"/>
    <w:next w:val="1"/>
    <w:qFormat/>
    <w:uiPriority w:val="0"/>
    <w:pPr>
      <w:keepNext/>
      <w:keepLines/>
      <w:spacing w:before="260" w:after="260" w:line="416" w:lineRule="auto"/>
      <w:jc w:val="center"/>
      <w:outlineLvl w:val="1"/>
    </w:pPr>
    <w:rPr>
      <w:rFonts w:ascii="Arial" w:hAnsi="Arial" w:eastAsia="幼圆"/>
      <w:b/>
      <w:sz w:val="44"/>
      <w:szCs w:val="20"/>
    </w:rPr>
  </w:style>
  <w:style w:type="paragraph" w:styleId="4">
    <w:name w:val="heading 3"/>
    <w:basedOn w:val="1"/>
    <w:next w:val="1"/>
    <w:qFormat/>
    <w:uiPriority w:val="0"/>
    <w:pPr>
      <w:keepNext/>
      <w:keepLines/>
      <w:spacing w:before="260" w:after="260" w:line="416" w:lineRule="auto"/>
      <w:outlineLvl w:val="2"/>
    </w:pPr>
    <w:rPr>
      <w:b/>
      <w:sz w:val="32"/>
      <w:szCs w:val="20"/>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qFormat/>
    <w:uiPriority w:val="0"/>
    <w:pPr>
      <w:keepNext/>
      <w:outlineLvl w:val="4"/>
    </w:pPr>
    <w:rPr>
      <w:rFonts w:ascii="宋体" w:hAnsi="宋体"/>
      <w:b/>
      <w:bCs/>
    </w:rPr>
  </w:style>
  <w:style w:type="character" w:default="1" w:styleId="41">
    <w:name w:val="Default Paragraph Font"/>
    <w:semiHidden/>
    <w:qFormat/>
    <w:uiPriority w:val="0"/>
  </w:style>
  <w:style w:type="table" w:default="1" w:styleId="39">
    <w:name w:val="Normal Table"/>
    <w:semiHidden/>
    <w:qFormat/>
    <w:uiPriority w:val="0"/>
    <w:tblPr>
      <w:tblCellMar>
        <w:top w:w="0" w:type="dxa"/>
        <w:left w:w="108" w:type="dxa"/>
        <w:bottom w:w="0" w:type="dxa"/>
        <w:right w:w="108" w:type="dxa"/>
      </w:tblCellMar>
    </w:tblPr>
  </w:style>
  <w:style w:type="paragraph" w:styleId="7">
    <w:name w:val="toc 7"/>
    <w:basedOn w:val="1"/>
    <w:next w:val="1"/>
    <w:semiHidden/>
    <w:qFormat/>
    <w:uiPriority w:val="0"/>
    <w:pPr>
      <w:ind w:left="2520" w:leftChars="1200"/>
    </w:pPr>
  </w:style>
  <w:style w:type="paragraph" w:styleId="8">
    <w:name w:val="Normal Indent"/>
    <w:basedOn w:val="1"/>
    <w:link w:val="57"/>
    <w:qFormat/>
    <w:uiPriority w:val="0"/>
    <w:pPr>
      <w:ind w:firstLine="420"/>
    </w:pPr>
    <w:rPr>
      <w:szCs w:val="20"/>
    </w:rPr>
  </w:style>
  <w:style w:type="paragraph" w:styleId="9">
    <w:name w:val="index 5"/>
    <w:basedOn w:val="1"/>
    <w:next w:val="1"/>
    <w:unhideWhenUsed/>
    <w:qFormat/>
    <w:uiPriority w:val="99"/>
    <w:pPr>
      <w:ind w:left="1050" w:hanging="210" w:firstLineChars="200"/>
      <w:jc w:val="left"/>
    </w:pPr>
    <w:rPr>
      <w:sz w:val="18"/>
      <w:szCs w:val="18"/>
      <w:lang w:eastAsia="zh-TW"/>
    </w:rPr>
  </w:style>
  <w:style w:type="paragraph" w:styleId="10">
    <w:name w:val="Document Map"/>
    <w:basedOn w:val="1"/>
    <w:semiHidden/>
    <w:qFormat/>
    <w:uiPriority w:val="0"/>
    <w:pPr>
      <w:shd w:val="clear" w:color="auto" w:fill="000080"/>
    </w:pPr>
  </w:style>
  <w:style w:type="paragraph" w:styleId="11">
    <w:name w:val="annotation text"/>
    <w:basedOn w:val="1"/>
    <w:link w:val="58"/>
    <w:qFormat/>
    <w:uiPriority w:val="0"/>
    <w:pPr>
      <w:jc w:val="left"/>
    </w:pPr>
  </w:style>
  <w:style w:type="paragraph" w:styleId="12">
    <w:name w:val="Body Text 3"/>
    <w:basedOn w:val="1"/>
    <w:qFormat/>
    <w:uiPriority w:val="0"/>
    <w:rPr>
      <w:rFonts w:ascii="仿宋_GB2312" w:hAnsi="Arial" w:eastAsia="仿宋_GB2312"/>
      <w:sz w:val="32"/>
      <w:szCs w:val="20"/>
    </w:rPr>
  </w:style>
  <w:style w:type="paragraph" w:styleId="13">
    <w:name w:val="Body Text"/>
    <w:basedOn w:val="1"/>
    <w:next w:val="1"/>
    <w:qFormat/>
    <w:uiPriority w:val="0"/>
    <w:rPr>
      <w:rFonts w:ascii="楷体_GB2312" w:hAnsi="Arial" w:eastAsia="楷体_GB2312"/>
      <w:sz w:val="28"/>
      <w:szCs w:val="20"/>
    </w:rPr>
  </w:style>
  <w:style w:type="paragraph" w:styleId="14">
    <w:name w:val="Body Text Indent"/>
    <w:basedOn w:val="1"/>
    <w:qFormat/>
    <w:uiPriority w:val="0"/>
    <w:pPr>
      <w:ind w:firstLine="645"/>
    </w:pPr>
    <w:rPr>
      <w:rFonts w:ascii="楷体_GB2312" w:eastAsia="楷体_GB2312"/>
      <w:sz w:val="32"/>
      <w:szCs w:val="20"/>
    </w:rPr>
  </w:style>
  <w:style w:type="paragraph" w:styleId="15">
    <w:name w:val="toc 5"/>
    <w:basedOn w:val="1"/>
    <w:next w:val="1"/>
    <w:semiHidden/>
    <w:qFormat/>
    <w:uiPriority w:val="0"/>
    <w:pPr>
      <w:ind w:left="1680" w:leftChars="800"/>
    </w:pPr>
  </w:style>
  <w:style w:type="paragraph" w:styleId="16">
    <w:name w:val="toc 3"/>
    <w:basedOn w:val="1"/>
    <w:next w:val="1"/>
    <w:semiHidden/>
    <w:qFormat/>
    <w:uiPriority w:val="0"/>
    <w:pPr>
      <w:tabs>
        <w:tab w:val="right" w:leader="dot" w:pos="9440"/>
      </w:tabs>
      <w:spacing w:line="240" w:lineRule="exact"/>
      <w:ind w:left="539"/>
      <w:jc w:val="left"/>
    </w:pPr>
    <w:rPr>
      <w:rFonts w:ascii="黑体" w:hAnsi="宋体" w:eastAsia="黑体"/>
      <w:bCs/>
      <w:iCs/>
      <w:sz w:val="18"/>
      <w:szCs w:val="32"/>
    </w:rPr>
  </w:style>
  <w:style w:type="paragraph" w:styleId="17">
    <w:name w:val="Plain Text"/>
    <w:basedOn w:val="1"/>
    <w:qFormat/>
    <w:uiPriority w:val="0"/>
    <w:rPr>
      <w:rFonts w:hint="eastAsia" w:ascii="宋体" w:hAnsi="Courier New"/>
      <w:szCs w:val="20"/>
    </w:rPr>
  </w:style>
  <w:style w:type="paragraph" w:styleId="18">
    <w:name w:val="toc 8"/>
    <w:basedOn w:val="1"/>
    <w:next w:val="1"/>
    <w:semiHidden/>
    <w:qFormat/>
    <w:uiPriority w:val="0"/>
    <w:pPr>
      <w:ind w:left="2940" w:leftChars="1400"/>
    </w:pPr>
  </w:style>
  <w:style w:type="paragraph" w:styleId="19">
    <w:name w:val="Date"/>
    <w:basedOn w:val="1"/>
    <w:next w:val="1"/>
    <w:qFormat/>
    <w:uiPriority w:val="0"/>
    <w:rPr>
      <w:sz w:val="24"/>
      <w:szCs w:val="20"/>
    </w:rPr>
  </w:style>
  <w:style w:type="paragraph" w:styleId="20">
    <w:name w:val="Body Text Indent 2"/>
    <w:basedOn w:val="1"/>
    <w:qFormat/>
    <w:uiPriority w:val="0"/>
    <w:pPr>
      <w:ind w:firstLine="560" w:firstLineChars="200"/>
    </w:pPr>
    <w:rPr>
      <w:rFonts w:ascii="宋体" w:hAnsi="宋体"/>
      <w:sz w:val="28"/>
    </w:rPr>
  </w:style>
  <w:style w:type="paragraph" w:styleId="21">
    <w:name w:val="Balloon Text"/>
    <w:basedOn w:val="1"/>
    <w:semiHidden/>
    <w:qFormat/>
    <w:uiPriority w:val="0"/>
    <w:rPr>
      <w:sz w:val="18"/>
      <w:szCs w:val="18"/>
    </w:rPr>
  </w:style>
  <w:style w:type="paragraph" w:styleId="22">
    <w:name w:val="footer"/>
    <w:basedOn w:val="1"/>
    <w:qFormat/>
    <w:uiPriority w:val="0"/>
    <w:pPr>
      <w:tabs>
        <w:tab w:val="center" w:pos="4153"/>
        <w:tab w:val="right" w:pos="8306"/>
      </w:tabs>
      <w:snapToGrid w:val="0"/>
      <w:jc w:val="left"/>
    </w:pPr>
    <w:rPr>
      <w:sz w:val="18"/>
      <w:szCs w:val="20"/>
    </w:rPr>
  </w:style>
  <w:style w:type="paragraph" w:styleId="23">
    <w:name w:val="envelope return"/>
    <w:basedOn w:val="1"/>
    <w:qFormat/>
    <w:uiPriority w:val="99"/>
    <w:pPr>
      <w:snapToGrid w:val="0"/>
    </w:pPr>
    <w:rPr>
      <w:rFonts w:ascii="Arial" w:hAnsi="Arial" w:cs="Arial"/>
    </w:rPr>
  </w:style>
  <w:style w:type="paragraph" w:styleId="2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semiHidden/>
    <w:qFormat/>
    <w:uiPriority w:val="0"/>
    <w:pPr>
      <w:tabs>
        <w:tab w:val="right" w:leader="dot" w:pos="9440"/>
      </w:tabs>
      <w:spacing w:before="120" w:after="120" w:line="300" w:lineRule="exact"/>
      <w:jc w:val="left"/>
    </w:pPr>
    <w:rPr>
      <w:rFonts w:ascii="黑体" w:eastAsia="黑体"/>
      <w:b/>
      <w:caps/>
      <w:sz w:val="18"/>
      <w:szCs w:val="28"/>
    </w:rPr>
  </w:style>
  <w:style w:type="paragraph" w:styleId="26">
    <w:name w:val="toc 4"/>
    <w:basedOn w:val="1"/>
    <w:next w:val="1"/>
    <w:semiHidden/>
    <w:qFormat/>
    <w:uiPriority w:val="0"/>
    <w:pPr>
      <w:ind w:left="1260" w:leftChars="600"/>
    </w:pPr>
  </w:style>
  <w:style w:type="paragraph" w:styleId="27">
    <w:name w:val="footnote text"/>
    <w:basedOn w:val="1"/>
    <w:next w:val="9"/>
    <w:qFormat/>
    <w:uiPriority w:val="0"/>
    <w:pPr>
      <w:adjustRightInd w:val="0"/>
      <w:spacing w:line="312" w:lineRule="atLeast"/>
      <w:jc w:val="left"/>
      <w:textAlignment w:val="baseline"/>
    </w:pPr>
    <w:rPr>
      <w:sz w:val="18"/>
    </w:rPr>
  </w:style>
  <w:style w:type="paragraph" w:styleId="28">
    <w:name w:val="toc 6"/>
    <w:basedOn w:val="1"/>
    <w:next w:val="1"/>
    <w:semiHidden/>
    <w:qFormat/>
    <w:uiPriority w:val="0"/>
    <w:pPr>
      <w:ind w:left="2100" w:leftChars="1000"/>
    </w:pPr>
  </w:style>
  <w:style w:type="paragraph" w:styleId="29">
    <w:name w:val="Body Text Indent 3"/>
    <w:basedOn w:val="1"/>
    <w:qFormat/>
    <w:uiPriority w:val="0"/>
    <w:pPr>
      <w:ind w:firstLine="523"/>
    </w:pPr>
    <w:rPr>
      <w:rFonts w:ascii="仿宋_GB2312" w:hAnsi="宋体" w:eastAsia="仿宋_GB2312"/>
      <w:sz w:val="24"/>
    </w:rPr>
  </w:style>
  <w:style w:type="paragraph" w:styleId="30">
    <w:name w:val="toc 2"/>
    <w:basedOn w:val="1"/>
    <w:next w:val="1"/>
    <w:semiHidden/>
    <w:qFormat/>
    <w:uiPriority w:val="0"/>
    <w:pPr>
      <w:tabs>
        <w:tab w:val="right" w:leader="dot" w:pos="9440"/>
      </w:tabs>
      <w:spacing w:line="260" w:lineRule="exact"/>
      <w:jc w:val="left"/>
    </w:pPr>
    <w:rPr>
      <w:rFonts w:ascii="黑体" w:eastAsia="黑体"/>
      <w:b/>
      <w:bCs/>
      <w:smallCaps/>
      <w:sz w:val="18"/>
      <w:szCs w:val="44"/>
    </w:rPr>
  </w:style>
  <w:style w:type="paragraph" w:styleId="31">
    <w:name w:val="toc 9"/>
    <w:basedOn w:val="1"/>
    <w:next w:val="1"/>
    <w:semiHidden/>
    <w:qFormat/>
    <w:uiPriority w:val="0"/>
    <w:pPr>
      <w:ind w:left="3360" w:leftChars="1600"/>
    </w:pPr>
  </w:style>
  <w:style w:type="paragraph" w:styleId="32">
    <w:name w:val="Body Text 2"/>
    <w:basedOn w:val="1"/>
    <w:qFormat/>
    <w:uiPriority w:val="0"/>
    <w:pPr>
      <w:jc w:val="center"/>
    </w:pPr>
    <w:rPr>
      <w:rFonts w:ascii="仿宋_GB2312" w:eastAsia="仿宋_GB2312"/>
      <w:sz w:val="44"/>
    </w:rPr>
  </w:style>
  <w:style w:type="paragraph" w:styleId="33">
    <w:name w:val="Message Header"/>
    <w:basedOn w:val="1"/>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szCs w:val="24"/>
    </w:rPr>
  </w:style>
  <w:style w:type="paragraph" w:styleId="34">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3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6">
    <w:name w:val="index 1"/>
    <w:basedOn w:val="1"/>
    <w:next w:val="1"/>
    <w:semiHidden/>
    <w:qFormat/>
    <w:uiPriority w:val="0"/>
    <w:rPr>
      <w:rFonts w:ascii="宋体" w:hAnsi="宋体"/>
      <w:szCs w:val="18"/>
    </w:rPr>
  </w:style>
  <w:style w:type="paragraph" w:styleId="37">
    <w:name w:val="annotation subject"/>
    <w:basedOn w:val="11"/>
    <w:next w:val="11"/>
    <w:link w:val="59"/>
    <w:qFormat/>
    <w:uiPriority w:val="0"/>
    <w:rPr>
      <w:b/>
      <w:bCs/>
    </w:rPr>
  </w:style>
  <w:style w:type="paragraph" w:styleId="38">
    <w:name w:val="Body Text First Indent 2"/>
    <w:basedOn w:val="14"/>
    <w:unhideWhenUsed/>
    <w:qFormat/>
    <w:uiPriority w:val="99"/>
    <w:pPr>
      <w:ind w:firstLine="420" w:firstLineChars="200"/>
    </w:pPr>
    <w:rPr>
      <w:lang w:val="en-US" w:eastAsia="zh-CN"/>
    </w:rPr>
  </w:style>
  <w:style w:type="table" w:styleId="40">
    <w:name w:val="Table Grid"/>
    <w:basedOn w:val="3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qFormat/>
    <w:uiPriority w:val="0"/>
    <w:rPr>
      <w:b/>
      <w:bCs/>
    </w:rPr>
  </w:style>
  <w:style w:type="character" w:styleId="43">
    <w:name w:val="page number"/>
    <w:basedOn w:val="41"/>
    <w:qFormat/>
    <w:uiPriority w:val="0"/>
  </w:style>
  <w:style w:type="character" w:styleId="44">
    <w:name w:val="FollowedHyperlink"/>
    <w:qFormat/>
    <w:uiPriority w:val="0"/>
    <w:rPr>
      <w:color w:val="800080"/>
      <w:u w:val="none"/>
    </w:rPr>
  </w:style>
  <w:style w:type="character" w:styleId="45">
    <w:name w:val="Emphasis"/>
    <w:qFormat/>
    <w:uiPriority w:val="0"/>
    <w:rPr>
      <w:rFonts w:ascii="微软雅黑" w:hAnsi="微软雅黑" w:eastAsia="微软雅黑" w:cs="微软雅黑"/>
      <w:b/>
      <w:bCs/>
      <w:color w:val="3D4B64"/>
      <w:sz w:val="15"/>
      <w:szCs w:val="15"/>
    </w:rPr>
  </w:style>
  <w:style w:type="character" w:styleId="46">
    <w:name w:val="HTML Definition"/>
    <w:qFormat/>
    <w:uiPriority w:val="0"/>
  </w:style>
  <w:style w:type="character" w:styleId="47">
    <w:name w:val="HTML Typewriter"/>
    <w:qFormat/>
    <w:uiPriority w:val="0"/>
    <w:rPr>
      <w:rFonts w:hint="default" w:ascii="monospace" w:hAnsi="monospace" w:eastAsia="monospace" w:cs="monospace"/>
      <w:sz w:val="20"/>
    </w:rPr>
  </w:style>
  <w:style w:type="character" w:styleId="48">
    <w:name w:val="HTML Acronym"/>
    <w:qFormat/>
    <w:uiPriority w:val="0"/>
  </w:style>
  <w:style w:type="character" w:styleId="49">
    <w:name w:val="HTML Variable"/>
    <w:qFormat/>
    <w:uiPriority w:val="0"/>
  </w:style>
  <w:style w:type="character" w:styleId="50">
    <w:name w:val="Hyperlink"/>
    <w:qFormat/>
    <w:uiPriority w:val="0"/>
    <w:rPr>
      <w:color w:val="0000FF"/>
      <w:u w:val="none"/>
    </w:rPr>
  </w:style>
  <w:style w:type="character" w:styleId="51">
    <w:name w:val="HTML Code"/>
    <w:qFormat/>
    <w:uiPriority w:val="0"/>
    <w:rPr>
      <w:rFonts w:hint="default" w:ascii="monospace" w:hAnsi="monospace" w:eastAsia="monospace" w:cs="monospace"/>
      <w:sz w:val="20"/>
    </w:rPr>
  </w:style>
  <w:style w:type="character" w:styleId="52">
    <w:name w:val="annotation reference"/>
    <w:qFormat/>
    <w:uiPriority w:val="0"/>
    <w:rPr>
      <w:sz w:val="21"/>
      <w:szCs w:val="21"/>
    </w:rPr>
  </w:style>
  <w:style w:type="character" w:styleId="53">
    <w:name w:val="HTML Cite"/>
    <w:qFormat/>
    <w:uiPriority w:val="0"/>
  </w:style>
  <w:style w:type="character" w:styleId="54">
    <w:name w:val="HTML Keyboard"/>
    <w:qFormat/>
    <w:uiPriority w:val="0"/>
    <w:rPr>
      <w:rFonts w:hint="default" w:ascii="monospace" w:hAnsi="monospace" w:eastAsia="monospace" w:cs="monospace"/>
      <w:sz w:val="20"/>
    </w:rPr>
  </w:style>
  <w:style w:type="character" w:styleId="55">
    <w:name w:val="HTML Sample"/>
    <w:qFormat/>
    <w:uiPriority w:val="0"/>
    <w:rPr>
      <w:rFonts w:ascii="monospace" w:hAnsi="monospace" w:eastAsia="monospace" w:cs="monospace"/>
    </w:rPr>
  </w:style>
  <w:style w:type="character" w:customStyle="1" w:styleId="56">
    <w:name w:val="标题 1 Char"/>
    <w:link w:val="3"/>
    <w:qFormat/>
    <w:uiPriority w:val="0"/>
    <w:rPr>
      <w:rFonts w:ascii="楷体_GB2312" w:eastAsia="楷体_GB2312"/>
      <w:kern w:val="2"/>
      <w:sz w:val="28"/>
      <w:lang w:val="en-US" w:eastAsia="zh-CN" w:bidi="ar-SA"/>
    </w:rPr>
  </w:style>
  <w:style w:type="character" w:customStyle="1" w:styleId="57">
    <w:name w:val="正文缩进 Char"/>
    <w:link w:val="8"/>
    <w:qFormat/>
    <w:uiPriority w:val="0"/>
    <w:rPr>
      <w:rFonts w:eastAsia="宋体"/>
      <w:kern w:val="2"/>
      <w:sz w:val="21"/>
      <w:lang w:val="en-US" w:eastAsia="zh-CN" w:bidi="ar-SA"/>
    </w:rPr>
  </w:style>
  <w:style w:type="character" w:customStyle="1" w:styleId="58">
    <w:name w:val="批注文字 Char"/>
    <w:link w:val="11"/>
    <w:qFormat/>
    <w:uiPriority w:val="0"/>
    <w:rPr>
      <w:kern w:val="2"/>
      <w:sz w:val="21"/>
      <w:szCs w:val="24"/>
    </w:rPr>
  </w:style>
  <w:style w:type="character" w:customStyle="1" w:styleId="59">
    <w:name w:val="批注主题 Char"/>
    <w:link w:val="37"/>
    <w:qFormat/>
    <w:uiPriority w:val="0"/>
    <w:rPr>
      <w:b/>
      <w:bCs/>
      <w:kern w:val="2"/>
      <w:sz w:val="21"/>
      <w:szCs w:val="24"/>
    </w:rPr>
  </w:style>
  <w:style w:type="paragraph" w:customStyle="1" w:styleId="60">
    <w:name w:val="正文1"/>
    <w:basedOn w:val="1"/>
    <w:qFormat/>
    <w:uiPriority w:val="0"/>
    <w:pPr>
      <w:widowControl/>
      <w:topLinePunct/>
      <w:spacing w:beforeLines="50" w:afterLines="50" w:line="300" w:lineRule="auto"/>
      <w:ind w:left="420"/>
    </w:pPr>
    <w:rPr>
      <w:szCs w:val="24"/>
    </w:rPr>
  </w:style>
  <w:style w:type="character" w:customStyle="1" w:styleId="61">
    <w:name w:val="fontstyle01"/>
    <w:qFormat/>
    <w:uiPriority w:val="0"/>
    <w:rPr>
      <w:rFonts w:hint="default" w:ascii="Calibri-Bold" w:hAnsi="Calibri-Bold"/>
      <w:b/>
      <w:bCs/>
      <w:color w:val="000000"/>
      <w:sz w:val="22"/>
      <w:szCs w:val="22"/>
    </w:rPr>
  </w:style>
  <w:style w:type="character" w:customStyle="1" w:styleId="62">
    <w:name w:val="jj1"/>
    <w:qFormat/>
    <w:uiPriority w:val="0"/>
    <w:rPr>
      <w:sz w:val="20"/>
      <w:szCs w:val="20"/>
      <w:u w:val="none"/>
    </w:rPr>
  </w:style>
  <w:style w:type="character" w:customStyle="1" w:styleId="63">
    <w:name w:val="hover4"/>
    <w:qFormat/>
    <w:uiPriority w:val="0"/>
    <w:rPr>
      <w:color w:val="FFFFFF"/>
    </w:rPr>
  </w:style>
  <w:style w:type="character" w:customStyle="1" w:styleId="64">
    <w:name w:val="first-child"/>
    <w:qFormat/>
    <w:uiPriority w:val="0"/>
  </w:style>
  <w:style w:type="character" w:customStyle="1" w:styleId="65">
    <w:name w:val="infodetail1"/>
    <w:qFormat/>
    <w:uiPriority w:val="0"/>
    <w:rPr>
      <w:rFonts w:hint="default" w:ascii="ˎ̥" w:hAnsi="ˎ̥"/>
      <w:sz w:val="21"/>
      <w:szCs w:val="21"/>
    </w:rPr>
  </w:style>
  <w:style w:type="character" w:customStyle="1" w:styleId="66">
    <w:name w:val="标题2 Char"/>
    <w:qFormat/>
    <w:uiPriority w:val="0"/>
    <w:rPr>
      <w:rFonts w:ascii="方正楷体_GBK" w:hAnsi="Book Antiqua" w:eastAsia="方正楷体_GBK"/>
      <w:snapToGrid w:val="0"/>
      <w:sz w:val="32"/>
      <w:lang w:val="en-US" w:eastAsia="zh-CN" w:bidi="ar-SA"/>
    </w:rPr>
  </w:style>
  <w:style w:type="character" w:customStyle="1" w:styleId="67">
    <w:name w:val="hover1"/>
    <w:qFormat/>
    <w:uiPriority w:val="0"/>
    <w:rPr>
      <w:color w:val="5FB878"/>
    </w:rPr>
  </w:style>
  <w:style w:type="character" w:customStyle="1" w:styleId="68">
    <w:name w:val="hover2"/>
    <w:qFormat/>
    <w:uiPriority w:val="0"/>
    <w:rPr>
      <w:color w:val="5FB878"/>
    </w:rPr>
  </w:style>
  <w:style w:type="character" w:customStyle="1" w:styleId="69">
    <w:name w:val="hover3"/>
    <w:qFormat/>
    <w:uiPriority w:val="0"/>
    <w:rPr>
      <w:color w:val="5FB878"/>
    </w:rPr>
  </w:style>
  <w:style w:type="character" w:customStyle="1" w:styleId="70">
    <w:name w:val="layui-this2"/>
    <w:qFormat/>
    <w:uiPriority w:val="0"/>
    <w:rPr>
      <w:bdr w:val="single" w:color="EEEEEE" w:sz="6" w:space="0"/>
      <w:shd w:val="clear" w:color="auto" w:fill="FFFFFF"/>
    </w:rPr>
  </w:style>
  <w:style w:type="character" w:customStyle="1" w:styleId="71">
    <w:name w:val="hover"/>
    <w:qFormat/>
    <w:uiPriority w:val="0"/>
    <w:rPr>
      <w:color w:val="5FB878"/>
    </w:rPr>
  </w:style>
  <w:style w:type="character" w:customStyle="1" w:styleId="72">
    <w:name w:val="fontstyle11"/>
    <w:qFormat/>
    <w:uiPriority w:val="0"/>
    <w:rPr>
      <w:rFonts w:hint="eastAsia" w:ascii="宋体" w:hAnsi="宋体" w:eastAsia="宋体"/>
      <w:color w:val="000000"/>
      <w:sz w:val="22"/>
      <w:szCs w:val="22"/>
    </w:rPr>
  </w:style>
  <w:style w:type="character" w:customStyle="1" w:styleId="73">
    <w:name w:val="列出段落 Char"/>
    <w:link w:val="74"/>
    <w:qFormat/>
    <w:locked/>
    <w:uiPriority w:val="0"/>
    <w:rPr>
      <w:rFonts w:ascii="Calibri" w:hAnsi="Calibri"/>
      <w:sz w:val="24"/>
      <w:szCs w:val="24"/>
      <w:lang w:eastAsia="en-US" w:bidi="en-US"/>
    </w:rPr>
  </w:style>
  <w:style w:type="paragraph" w:customStyle="1" w:styleId="74">
    <w:name w:val="列出段落1"/>
    <w:basedOn w:val="1"/>
    <w:link w:val="73"/>
    <w:qFormat/>
    <w:uiPriority w:val="0"/>
    <w:pPr>
      <w:widowControl/>
      <w:ind w:left="720"/>
      <w:contextualSpacing/>
      <w:jc w:val="left"/>
    </w:pPr>
    <w:rPr>
      <w:rFonts w:ascii="Calibri" w:hAnsi="Calibri"/>
      <w:kern w:val="0"/>
      <w:sz w:val="24"/>
      <w:lang w:eastAsia="en-US" w:bidi="en-US"/>
    </w:rPr>
  </w:style>
  <w:style w:type="paragraph" w:customStyle="1" w:styleId="75">
    <w:name w:val="纯文本1"/>
    <w:basedOn w:val="1"/>
    <w:qFormat/>
    <w:uiPriority w:val="99"/>
    <w:rPr>
      <w:rFonts w:ascii="宋体" w:hAnsi="Courier New"/>
      <w:szCs w:val="20"/>
    </w:rPr>
  </w:style>
  <w:style w:type="paragraph" w:customStyle="1" w:styleId="76">
    <w:name w:val="正文缩进1"/>
    <w:basedOn w:val="1"/>
    <w:qFormat/>
    <w:uiPriority w:val="99"/>
    <w:pPr>
      <w:autoSpaceDE w:val="0"/>
      <w:autoSpaceDN w:val="0"/>
      <w:adjustRightInd w:val="0"/>
      <w:ind w:firstLine="420"/>
      <w:jc w:val="left"/>
    </w:pPr>
    <w:rPr>
      <w:rFonts w:ascii="宋体"/>
      <w:kern w:val="0"/>
      <w:sz w:val="24"/>
      <w:szCs w:val="20"/>
    </w:rPr>
  </w:style>
  <w:style w:type="paragraph" w:customStyle="1" w:styleId="77">
    <w:name w:val="第四级"/>
    <w:basedOn w:val="1"/>
    <w:next w:val="1"/>
    <w:qFormat/>
    <w:uiPriority w:val="0"/>
    <w:pPr>
      <w:numPr>
        <w:ilvl w:val="3"/>
        <w:numId w:val="1"/>
      </w:numPr>
      <w:adjustRightInd w:val="0"/>
      <w:spacing w:line="360" w:lineRule="auto"/>
      <w:textAlignment w:val="baseline"/>
    </w:pPr>
    <w:rPr>
      <w:rFonts w:ascii="宋体" w:hAnsi="宋体" w:eastAsia="仿宋"/>
      <w:kern w:val="0"/>
      <w:sz w:val="28"/>
      <w:szCs w:val="21"/>
    </w:rPr>
  </w:style>
  <w:style w:type="paragraph" w:customStyle="1" w:styleId="78">
    <w:name w:val="Table Text"/>
    <w:qFormat/>
    <w:uiPriority w:val="0"/>
    <w:pPr>
      <w:snapToGrid w:val="0"/>
      <w:spacing w:beforeLines="50" w:after="80"/>
      <w:jc w:val="center"/>
    </w:pPr>
    <w:rPr>
      <w:rFonts w:ascii="仿宋_GB2312" w:hAnsi="宋体" w:eastAsia="仿宋_GB2312" w:cs="Times New Roman"/>
      <w:sz w:val="24"/>
      <w:lang w:val="en-US" w:eastAsia="zh-CN" w:bidi="ar-SA"/>
    </w:rPr>
  </w:style>
  <w:style w:type="paragraph" w:customStyle="1" w:styleId="79">
    <w:name w:val=" Char Char Char Char1 Char Char"/>
    <w:basedOn w:val="1"/>
    <w:qFormat/>
    <w:uiPriority w:val="0"/>
    <w:pPr>
      <w:tabs>
        <w:tab w:val="left" w:pos="360"/>
      </w:tabs>
    </w:pPr>
    <w:rPr>
      <w:sz w:val="24"/>
    </w:rPr>
  </w:style>
  <w:style w:type="paragraph" w:customStyle="1" w:styleId="80">
    <w:name w:val="标题2"/>
    <w:basedOn w:val="1"/>
    <w:next w:val="1"/>
    <w:qFormat/>
    <w:uiPriority w:val="0"/>
    <w:pPr>
      <w:jc w:val="center"/>
    </w:pPr>
    <w:rPr>
      <w:rFonts w:eastAsia="方正楷体_GBK"/>
    </w:rPr>
  </w:style>
  <w:style w:type="paragraph" w:customStyle="1" w:styleId="81">
    <w:name w:val="标题1"/>
    <w:basedOn w:val="1"/>
    <w:next w:val="1"/>
    <w:qFormat/>
    <w:uiPriority w:val="0"/>
    <w:pPr>
      <w:tabs>
        <w:tab w:val="left" w:pos="9193"/>
        <w:tab w:val="left" w:pos="9827"/>
      </w:tabs>
      <w:spacing w:line="700" w:lineRule="atLeast"/>
      <w:jc w:val="center"/>
    </w:pPr>
    <w:rPr>
      <w:rFonts w:eastAsia="方正小标宋_GBK"/>
      <w:sz w:val="44"/>
    </w:rPr>
  </w:style>
  <w:style w:type="paragraph" w:customStyle="1" w:styleId="82">
    <w:name w:val="xl47"/>
    <w:basedOn w:val="1"/>
    <w:qFormat/>
    <w:uiPriority w:val="0"/>
    <w:pPr>
      <w:widowControl/>
      <w:spacing w:before="100" w:beforeAutospacing="1" w:after="100" w:afterAutospacing="1"/>
      <w:jc w:val="center"/>
    </w:pPr>
    <w:rPr>
      <w:rFonts w:hint="eastAsia" w:ascii="方正姚体" w:hAnsi="宋体" w:eastAsia="方正姚体"/>
      <w:b/>
      <w:bCs/>
      <w:kern w:val="0"/>
      <w:sz w:val="36"/>
      <w:szCs w:val="36"/>
    </w:rPr>
  </w:style>
  <w:style w:type="paragraph" w:customStyle="1" w:styleId="83">
    <w:name w:val="列出段落11"/>
    <w:basedOn w:val="1"/>
    <w:qFormat/>
    <w:uiPriority w:val="34"/>
    <w:pPr>
      <w:ind w:firstLine="420" w:firstLineChars="200"/>
    </w:pPr>
    <w:rPr>
      <w:rFonts w:ascii="Calibri" w:hAnsi="Calibri"/>
      <w:szCs w:val="22"/>
    </w:rPr>
  </w:style>
  <w:style w:type="paragraph" w:customStyle="1" w:styleId="84">
    <w:name w:val=" Char"/>
    <w:basedOn w:val="1"/>
    <w:qFormat/>
    <w:uiPriority w:val="0"/>
    <w:rPr>
      <w:rFonts w:ascii="Tahoma" w:hAnsi="Tahoma"/>
      <w:snapToGrid w:val="0"/>
      <w:sz w:val="24"/>
      <w:szCs w:val="20"/>
    </w:rPr>
  </w:style>
  <w:style w:type="paragraph" w:customStyle="1" w:styleId="85">
    <w:name w:val="正文_1_0"/>
    <w:basedOn w:val="1"/>
    <w:qFormat/>
    <w:uiPriority w:val="0"/>
  </w:style>
  <w:style w:type="paragraph" w:customStyle="1" w:styleId="86">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87">
    <w:name w:val="_Style 8"/>
    <w:basedOn w:val="1"/>
    <w:next w:val="88"/>
    <w:qFormat/>
    <w:uiPriority w:val="34"/>
    <w:pPr>
      <w:ind w:firstLine="420" w:firstLineChars="200"/>
    </w:pPr>
    <w:rPr>
      <w:rFonts w:ascii="等线" w:hAnsi="等线" w:eastAsia="等线" w:cs="Times New Roman"/>
    </w:rPr>
  </w:style>
  <w:style w:type="paragraph" w:styleId="88">
    <w:name w:val="List Paragraph"/>
    <w:basedOn w:val="1"/>
    <w:qFormat/>
    <w:uiPriority w:val="0"/>
    <w:pPr>
      <w:ind w:firstLine="420" w:firstLineChars="200"/>
    </w:pPr>
    <w:rPr>
      <w:rFonts w:ascii="Calibri" w:hAnsi="Calibri"/>
      <w:szCs w:val="22"/>
    </w:rPr>
  </w:style>
  <w:style w:type="paragraph" w:customStyle="1" w:styleId="89">
    <w:name w:val="Coms Alinea"/>
    <w:qFormat/>
    <w:uiPriority w:val="0"/>
    <w:pPr>
      <w:widowControl w:val="0"/>
    </w:pPr>
    <w:rPr>
      <w:rFonts w:ascii="Arial" w:hAnsi="Arial" w:eastAsia="宋体" w:cs="Arial"/>
      <w:lang w:val="en-US" w:eastAsia="zh-CN" w:bidi="ar-SA"/>
    </w:rPr>
  </w:style>
  <w:style w:type="paragraph" w:customStyle="1" w:styleId="90">
    <w:name w:val="样式 宋体 小四 行距: 固定值 26 磅"/>
    <w:basedOn w:val="1"/>
    <w:qFormat/>
    <w:uiPriority w:val="0"/>
    <w:pPr>
      <w:spacing w:line="440" w:lineRule="exact"/>
      <w:ind w:firstLine="560" w:firstLineChars="200"/>
    </w:pPr>
    <w:rPr>
      <w:rFonts w:ascii="宋体" w:hAnsi="Times New Roman" w:eastAsia="宋体" w:cs="Times New Roman"/>
      <w:sz w:val="28"/>
      <w:szCs w:val="20"/>
    </w:rPr>
  </w:style>
  <w:style w:type="paragraph" w:styleId="91">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
    <w:name w:val="正文 第一章"/>
    <w:basedOn w:val="1"/>
    <w:next w:val="93"/>
    <w:qFormat/>
    <w:uiPriority w:val="0"/>
    <w:pPr>
      <w:pageBreakBefore/>
      <w:numPr>
        <w:ilvl w:val="0"/>
        <w:numId w:val="1"/>
      </w:numPr>
      <w:adjustRightInd w:val="0"/>
      <w:spacing w:before="240" w:after="240" w:line="480" w:lineRule="auto"/>
      <w:jc w:val="center"/>
      <w:textAlignment w:val="baseline"/>
      <w:outlineLvl w:val="0"/>
    </w:pPr>
    <w:rPr>
      <w:rFonts w:ascii="黑体" w:hAnsi="宋体" w:eastAsia="黑体"/>
      <w:kern w:val="0"/>
      <w:sz w:val="36"/>
      <w:szCs w:val="21"/>
    </w:rPr>
  </w:style>
  <w:style w:type="paragraph" w:customStyle="1" w:styleId="93">
    <w:name w:val="正文 1.1"/>
    <w:basedOn w:val="1"/>
    <w:next w:val="94"/>
    <w:qFormat/>
    <w:uiPriority w:val="0"/>
    <w:pPr>
      <w:numPr>
        <w:ilvl w:val="1"/>
        <w:numId w:val="1"/>
      </w:numPr>
      <w:tabs>
        <w:tab w:val="clear" w:pos="851"/>
      </w:tabs>
      <w:adjustRightInd w:val="0"/>
      <w:spacing w:line="360" w:lineRule="auto"/>
      <w:ind w:left="980" w:hanging="980" w:hangingChars="350"/>
      <w:textAlignment w:val="baseline"/>
      <w:outlineLvl w:val="1"/>
    </w:pPr>
    <w:rPr>
      <w:rFonts w:ascii="仿宋" w:hAnsi="仿宋" w:eastAsia="仿宋"/>
      <w:b/>
      <w:kern w:val="0"/>
      <w:sz w:val="28"/>
      <w:szCs w:val="21"/>
    </w:rPr>
  </w:style>
  <w:style w:type="paragraph" w:customStyle="1" w:styleId="94">
    <w:name w:val="正文 1.1.1"/>
    <w:basedOn w:val="1"/>
    <w:next w:val="1"/>
    <w:qFormat/>
    <w:uiPriority w:val="0"/>
    <w:pPr>
      <w:numPr>
        <w:ilvl w:val="2"/>
        <w:numId w:val="1"/>
      </w:numPr>
      <w:adjustRightInd w:val="0"/>
      <w:spacing w:line="360" w:lineRule="auto"/>
      <w:textAlignment w:val="baseline"/>
      <w:outlineLvl w:val="2"/>
    </w:pPr>
    <w:rPr>
      <w:rFonts w:ascii="宋体" w:hAnsi="宋体"/>
      <w:color w:val="000000"/>
      <w:kern w:val="0"/>
      <w:sz w:val="28"/>
      <w:szCs w:val="21"/>
    </w:rPr>
  </w:style>
  <w:style w:type="paragraph" w:customStyle="1" w:styleId="95">
    <w:name w:val="正文空2格  1."/>
    <w:basedOn w:val="1"/>
    <w:qFormat/>
    <w:uiPriority w:val="0"/>
    <w:pPr>
      <w:adjustRightInd w:val="0"/>
      <w:spacing w:line="360" w:lineRule="auto"/>
      <w:ind w:firstLine="480" w:firstLineChars="200"/>
      <w:textAlignment w:val="baseline"/>
    </w:pPr>
    <w:rPr>
      <w:rFonts w:ascii="宋体" w:eastAsia="仿宋" w:cs="宋体"/>
      <w:kern w:val="0"/>
      <w:sz w:val="28"/>
      <w:szCs w:val="20"/>
    </w:rPr>
  </w:style>
  <w:style w:type="paragraph" w:customStyle="1" w:styleId="96">
    <w:name w:val="附录1"/>
    <w:qFormat/>
    <w:uiPriority w:val="0"/>
    <w:pPr>
      <w:numPr>
        <w:ilvl w:val="0"/>
        <w:numId w:val="2"/>
      </w:numPr>
      <w:snapToGrid w:val="0"/>
      <w:spacing w:before="240" w:line="600" w:lineRule="atLeast"/>
    </w:pPr>
    <w:rPr>
      <w:rFonts w:ascii="Times New Roman" w:hAnsi="Times New Roman" w:eastAsia="宋体" w:cs="Times New Roman"/>
      <w:b/>
      <w:i/>
      <w:sz w:val="28"/>
      <w:lang w:val="en-US" w:eastAsia="zh-CN" w:bidi="ar-SA"/>
    </w:rPr>
  </w:style>
  <w:style w:type="paragraph" w:customStyle="1" w:styleId="97">
    <w:name w:val="HTML 预先格式化"/>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customStyle="1" w:styleId="98">
    <w:name w:val="Other|1"/>
    <w:basedOn w:val="1"/>
    <w:qFormat/>
    <w:uiPriority w:val="0"/>
    <w:pPr>
      <w:widowControl w:val="0"/>
      <w:shd w:val="clear" w:color="auto" w:fill="auto"/>
      <w:spacing w:line="432" w:lineRule="auto"/>
      <w:ind w:firstLine="400"/>
    </w:pPr>
    <w:rPr>
      <w:rFonts w:ascii="宋体" w:hAnsi="宋体" w:eastAsia="宋体" w:cs="宋体"/>
      <w:u w:val="none"/>
      <w:shd w:val="clear" w:color="auto" w:fill="auto"/>
      <w:lang w:val="zh-TW" w:eastAsia="zh-TW" w:bidi="zh-TW"/>
    </w:rPr>
  </w:style>
  <w:style w:type="paragraph" w:customStyle="1" w:styleId="99">
    <w:name w:val="Body text|2"/>
    <w:basedOn w:val="1"/>
    <w:qFormat/>
    <w:uiPriority w:val="0"/>
    <w:pPr>
      <w:widowControl w:val="0"/>
      <w:shd w:val="clear" w:color="auto" w:fill="auto"/>
      <w:spacing w:line="495" w:lineRule="exact"/>
      <w:ind w:firstLine="700"/>
    </w:pPr>
    <w:rPr>
      <w:u w:val="none"/>
      <w:shd w:val="clear" w:color="auto" w:fill="auto"/>
    </w:rPr>
  </w:style>
  <w:style w:type="paragraph" w:customStyle="1" w:styleId="100">
    <w:name w:val="Char Char Char Char"/>
    <w:basedOn w:val="10"/>
    <w:qFormat/>
    <w:uiPriority w:val="0"/>
    <w:pPr>
      <w:adjustRightInd w:val="0"/>
      <w:snapToGrid w:val="0"/>
      <w:spacing w:line="360" w:lineRule="auto"/>
    </w:pPr>
    <w:rPr>
      <w:rFonts w:ascii="Tahoma" w:hAnsi="Tahoma"/>
      <w:sz w:val="24"/>
    </w:rPr>
  </w:style>
  <w:style w:type="paragraph" w:customStyle="1" w:styleId="101">
    <w:name w:val="正文缩进2格"/>
    <w:basedOn w:val="1"/>
    <w:qFormat/>
    <w:uiPriority w:val="0"/>
    <w:pPr>
      <w:spacing w:line="600" w:lineRule="exact"/>
      <w:ind w:firstLine="639" w:firstLineChars="206"/>
    </w:pPr>
    <w:rPr>
      <w:rFonts w:ascii="仿宋_GB2312" w:hAnsi="宋体" w:eastAsia="仿宋_GB2312"/>
      <w:sz w:val="31"/>
      <w:szCs w:val="28"/>
    </w:rPr>
  </w:style>
  <w:style w:type="paragraph" w:customStyle="1" w:styleId="102">
    <w:name w:val="Char"/>
    <w:basedOn w:val="1"/>
    <w:qFormat/>
    <w:uiPriority w:val="0"/>
    <w:pPr>
      <w:tabs>
        <w:tab w:val="left" w:pos="360"/>
      </w:tabs>
      <w:ind w:firstLine="561"/>
      <w:jc w:val="left"/>
    </w:pPr>
    <w:rPr>
      <w:sz w:val="24"/>
    </w:rPr>
  </w:style>
  <w:style w:type="paragraph" w:customStyle="1" w:styleId="103">
    <w:name w:val="FootnoteText"/>
    <w:basedOn w:val="1"/>
    <w:next w:val="104"/>
    <w:unhideWhenUsed/>
    <w:qFormat/>
    <w:uiPriority w:val="0"/>
    <w:pPr>
      <w:spacing w:line="312" w:lineRule="atLeast"/>
      <w:jc w:val="left"/>
      <w:textAlignment w:val="baseline"/>
    </w:pPr>
    <w:rPr>
      <w:rFonts w:hint="default"/>
      <w:sz w:val="18"/>
      <w:szCs w:val="24"/>
    </w:rPr>
  </w:style>
  <w:style w:type="paragraph" w:customStyle="1" w:styleId="104">
    <w:name w:val="Index5"/>
    <w:basedOn w:val="1"/>
    <w:next w:val="1"/>
    <w:unhideWhenUsed/>
    <w:qFormat/>
    <w:uiPriority w:val="0"/>
    <w:pPr>
      <w:ind w:left="1050" w:hanging="210" w:firstLineChars="200"/>
      <w:jc w:val="left"/>
      <w:textAlignment w:val="baseline"/>
    </w:pPr>
    <w:rPr>
      <w:rFonts w:hint="default"/>
      <w:sz w:val="18"/>
      <w:szCs w:val="18"/>
      <w:lang w:eastAsia="zh-TW"/>
    </w:rPr>
  </w:style>
  <w:style w:type="paragraph" w:customStyle="1" w:styleId="105">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06">
    <w:name w:val="标题3"/>
    <w:basedOn w:val="1"/>
    <w:next w:val="1"/>
    <w:qFormat/>
    <w:uiPriority w:val="0"/>
    <w:rPr>
      <w:rFonts w:eastAsia="方正黑体_GBK"/>
    </w:rPr>
  </w:style>
  <w:style w:type="paragraph" w:customStyle="1" w:styleId="107">
    <w:name w:val="Char Char Char Char1 Char Char Char"/>
    <w:basedOn w:val="10"/>
    <w:qFormat/>
    <w:uiPriority w:val="0"/>
    <w:pPr>
      <w:adjustRightInd w:val="0"/>
      <w:snapToGrid w:val="0"/>
      <w:spacing w:line="360" w:lineRule="auto"/>
    </w:pPr>
    <w:rPr>
      <w:rFonts w:ascii="Tahoma" w:hAnsi="Tahoma"/>
      <w:sz w:val="24"/>
    </w:rPr>
  </w:style>
  <w:style w:type="paragraph" w:customStyle="1" w:styleId="108">
    <w:name w:val="默认段落字体 Para Char Char Char Char Char Char Char Char Char1 Char Char Char Char Char Char Char"/>
    <w:basedOn w:val="10"/>
    <w:qFormat/>
    <w:uiPriority w:val="0"/>
    <w:rPr>
      <w:rFonts w:ascii="Tahoma" w:hAnsi="Tahoma"/>
      <w:sz w:val="24"/>
    </w:rPr>
  </w:style>
  <w:style w:type="paragraph" w:customStyle="1" w:styleId="109">
    <w:name w:val="BioQuote Tekst"/>
    <w:basedOn w:val="1"/>
    <w:qFormat/>
    <w:uiPriority w:val="0"/>
    <w:pPr>
      <w:ind w:right="-1"/>
    </w:pPr>
    <w:rPr>
      <w:rFonts w:ascii="Arial" w:hAnsi="Arial"/>
      <w:snapToGrid w:val="0"/>
      <w:kern w:val="0"/>
      <w:sz w:val="22"/>
      <w:szCs w:val="20"/>
      <w:lang w:eastAsia="en-US"/>
    </w:rPr>
  </w:style>
  <w:style w:type="paragraph" w:customStyle="1" w:styleId="110">
    <w:name w:val="Body text|1"/>
    <w:basedOn w:val="1"/>
    <w:qFormat/>
    <w:uiPriority w:val="0"/>
    <w:pPr>
      <w:widowControl w:val="0"/>
      <w:shd w:val="clear" w:color="auto" w:fill="auto"/>
      <w:spacing w:line="432" w:lineRule="auto"/>
      <w:ind w:firstLine="400"/>
    </w:pPr>
    <w:rPr>
      <w:rFonts w:ascii="宋体" w:hAnsi="宋体" w:eastAsia="宋体" w:cs="宋体"/>
      <w:u w:val="none"/>
      <w:shd w:val="clear" w:color="auto" w:fill="auto"/>
      <w:lang w:val="zh-TW" w:eastAsia="zh-TW" w:bidi="zh-TW"/>
    </w:rPr>
  </w:style>
  <w:style w:type="character" w:customStyle="1" w:styleId="111">
    <w:name w:val="样式 小四 加粗"/>
    <w:qFormat/>
    <w:uiPriority w:val="0"/>
    <w:rPr>
      <w:rFonts w:eastAsia="黑体"/>
      <w:b/>
      <w:bCs/>
      <w:sz w:val="24"/>
    </w:rPr>
  </w:style>
  <w:style w:type="table" w:customStyle="1" w:styleId="112">
    <w:name w:val="Table Normal"/>
    <w:unhideWhenUsed/>
    <w:qFormat/>
    <w:uiPriority w:val="0"/>
    <w:rPr>
      <w:lang w:val="en-US" w:eastAsia="zh-CN" w:bidi="ar-SA"/>
    </w:rPr>
    <w:tblPr>
      <w:tblCellMar>
        <w:top w:w="0" w:type="dxa"/>
        <w:left w:w="0" w:type="dxa"/>
        <w:bottom w:w="0" w:type="dxa"/>
        <w:right w:w="0" w:type="dxa"/>
      </w:tblCellMar>
    </w:tblPr>
  </w:style>
  <w:style w:type="paragraph" w:customStyle="1" w:styleId="113">
    <w:name w:val="正文11"/>
    <w:next w:val="114"/>
    <w:qFormat/>
    <w:uiPriority w:val="0"/>
    <w:pPr>
      <w:widowControl w:val="0"/>
      <w:shd w:val="clear" w:color="auto" w:fill="FFFFFF"/>
      <w:jc w:val="both"/>
    </w:pPr>
    <w:rPr>
      <w:rFonts w:ascii="宋体" w:hAnsi="Times New Roman" w:eastAsia="宋体" w:cs="Times New Roman"/>
      <w:sz w:val="34"/>
      <w:szCs w:val="22"/>
      <w:lang w:val="en-US" w:eastAsia="zh-CN" w:bidi="ar-SA"/>
    </w:rPr>
  </w:style>
  <w:style w:type="paragraph" w:customStyle="1" w:styleId="114">
    <w:name w:val="正文文本1"/>
    <w:basedOn w:val="113"/>
    <w:next w:val="113"/>
    <w:qFormat/>
    <w:uiPriority w:val="0"/>
    <w:pPr>
      <w:tabs>
        <w:tab w:val="left" w:pos="720"/>
      </w:tabs>
      <w:spacing w:line="360" w:lineRule="auto"/>
    </w:pPr>
    <w:rPr>
      <w:sz w:val="28"/>
      <w:szCs w:val="20"/>
    </w:rPr>
  </w:style>
  <w:style w:type="paragraph" w:customStyle="1" w:styleId="115">
    <w:name w:val="正文+缩进"/>
    <w:basedOn w:val="113"/>
    <w:qFormat/>
    <w:uiPriority w:val="0"/>
    <w:pPr>
      <w:ind w:firstLine="200"/>
    </w:pPr>
  </w:style>
  <w:style w:type="character" w:customStyle="1" w:styleId="116">
    <w:name w:val="NormalCharacter"/>
    <w:qFormat/>
    <w:uiPriority w:val="0"/>
  </w:style>
  <w:style w:type="character" w:customStyle="1" w:styleId="117">
    <w:name w:val="font31"/>
    <w:basedOn w:val="41"/>
    <w:qFormat/>
    <w:uiPriority w:val="0"/>
    <w:rPr>
      <w:rFonts w:hint="eastAsia" w:ascii="方正楷体_GBK" w:hAnsi="方正楷体_GBK" w:eastAsia="方正楷体_GBK" w:cs="方正楷体_GBK"/>
      <w:color w:val="000000"/>
      <w:sz w:val="20"/>
      <w:szCs w:val="20"/>
      <w:u w:val="none"/>
    </w:rPr>
  </w:style>
  <w:style w:type="character" w:customStyle="1" w:styleId="118">
    <w:name w:val="font21"/>
    <w:basedOn w:val="41"/>
    <w:qFormat/>
    <w:uiPriority w:val="0"/>
    <w:rPr>
      <w:rFonts w:hint="eastAsia" w:ascii="微软雅黑" w:hAnsi="微软雅黑" w:eastAsia="微软雅黑" w:cs="微软雅黑"/>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52flin</Company>
  <Pages>83</Pages>
  <Words>24322</Words>
  <Characters>24911</Characters>
  <Lines>145</Lines>
  <Paragraphs>41</Paragraphs>
  <TotalTime>12</TotalTime>
  <ScaleCrop>false</ScaleCrop>
  <LinksUpToDate>false</LinksUpToDate>
  <CharactersWithSpaces>25277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2024-02-22T02:41:00Z</dcterms:created>
  <dc:creator>cgzx</dc:creator>
  <cp:lastModifiedBy>阿宝的夏天</cp:lastModifiedBy>
  <cp:lastPrinted>2024-07-16T00:22:00Z</cp:lastPrinted>
  <dcterms:modified xsi:type="dcterms:W3CDTF">2026-06-25T10:26:51Z</dcterms:modified>
  <dc:title>总  目  录</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594F916DB7424C62AF2D2BFA58BFA375_13</vt:lpwstr>
  </property>
  <property fmtid="{D5CDD505-2E9C-101B-9397-08002B2CF9AE}" pid="4" name="KSOTemplateDocerSaveRecord">
    <vt:lpwstr>eyJoZGlkIjoiODU1ZDM2NjM0MDU2OTRkOTlmODBlOTEzZTE3ODQ5OWIiLCJ1c2VySWQiOiIxMDMwMDk1NzgwIn0=</vt:lpwstr>
  </property>
</Properties>
</file>