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2829D">
      <w:pPr>
        <w:spacing w:line="800" w:lineRule="exact"/>
        <w:jc w:val="center"/>
        <w:rPr>
          <w:rFonts w:ascii="宋体" w:hAnsi="宋体" w:cs="宋体"/>
          <w:b/>
          <w:sz w:val="52"/>
          <w:szCs w:val="52"/>
        </w:rPr>
      </w:pPr>
    </w:p>
    <w:p w14:paraId="42523803">
      <w:pPr>
        <w:spacing w:line="800" w:lineRule="exact"/>
        <w:jc w:val="center"/>
        <w:rPr>
          <w:rFonts w:ascii="宋体" w:hAnsi="宋体" w:cs="宋体"/>
          <w:b/>
          <w:sz w:val="52"/>
          <w:szCs w:val="52"/>
        </w:rPr>
      </w:pPr>
    </w:p>
    <w:p w14:paraId="34D7CA15">
      <w:pPr>
        <w:jc w:val="center"/>
        <w:rPr>
          <w:rFonts w:ascii="宋体" w:hAnsi="宋体"/>
          <w:sz w:val="36"/>
          <w:szCs w:val="36"/>
        </w:rPr>
      </w:pPr>
      <w:r>
        <w:rPr>
          <w:rFonts w:hint="eastAsia" w:ascii="宋体" w:hAnsi="宋体"/>
          <w:sz w:val="36"/>
          <w:szCs w:val="36"/>
        </w:rPr>
        <w:t>希望大桥北岸供电杆线迁改工程及2026年新建小区外线接入工程（庆园、隐湖别苑、云和锦上花园）等项目</w:t>
      </w:r>
    </w:p>
    <w:p w14:paraId="1C04800A">
      <w:pPr>
        <w:jc w:val="center"/>
        <w:rPr>
          <w:rFonts w:ascii="宋体" w:hAnsi="宋体"/>
          <w:sz w:val="36"/>
          <w:szCs w:val="36"/>
        </w:rPr>
      </w:pPr>
      <w:r>
        <w:rPr>
          <w:rFonts w:hint="eastAsia" w:ascii="宋体" w:hAnsi="宋体"/>
          <w:sz w:val="36"/>
          <w:szCs w:val="36"/>
        </w:rPr>
        <w:t>供电监理</w:t>
      </w:r>
    </w:p>
    <w:p w14:paraId="713B9825">
      <w:pPr>
        <w:adjustRightInd w:val="0"/>
        <w:snapToGrid w:val="0"/>
        <w:spacing w:line="360" w:lineRule="auto"/>
        <w:jc w:val="center"/>
        <w:rPr>
          <w:rFonts w:ascii="宋体" w:hAnsi="宋体" w:cs="宋体"/>
          <w:sz w:val="84"/>
          <w:szCs w:val="84"/>
        </w:rPr>
      </w:pPr>
    </w:p>
    <w:p w14:paraId="4761BA42">
      <w:pPr>
        <w:adjustRightInd w:val="0"/>
        <w:snapToGrid w:val="0"/>
        <w:spacing w:line="700" w:lineRule="exact"/>
        <w:jc w:val="center"/>
        <w:rPr>
          <w:rFonts w:ascii="宋体" w:hAnsi="宋体" w:cs="宋体"/>
          <w:sz w:val="72"/>
          <w:szCs w:val="72"/>
        </w:rPr>
      </w:pPr>
    </w:p>
    <w:p w14:paraId="497CAF4B">
      <w:pPr>
        <w:adjustRightInd w:val="0"/>
        <w:snapToGrid w:val="0"/>
        <w:spacing w:line="700" w:lineRule="exact"/>
        <w:jc w:val="center"/>
        <w:rPr>
          <w:rFonts w:ascii="宋体" w:hAnsi="宋体" w:cs="宋体"/>
          <w:sz w:val="72"/>
          <w:szCs w:val="72"/>
        </w:rPr>
      </w:pPr>
      <w:r>
        <w:rPr>
          <w:rFonts w:hint="eastAsia" w:ascii="宋体" w:hAnsi="宋体" w:cs="宋体"/>
          <w:sz w:val="72"/>
          <w:szCs w:val="72"/>
        </w:rPr>
        <w:t>招标文件</w:t>
      </w:r>
    </w:p>
    <w:p w14:paraId="62B6A481">
      <w:pPr>
        <w:adjustRightInd w:val="0"/>
        <w:snapToGrid w:val="0"/>
        <w:spacing w:line="700" w:lineRule="exact"/>
        <w:jc w:val="center"/>
        <w:rPr>
          <w:rFonts w:ascii="宋体" w:hAnsi="宋体" w:cs="宋体"/>
          <w:b/>
          <w:sz w:val="32"/>
          <w:szCs w:val="32"/>
        </w:rPr>
      </w:pPr>
      <w:r>
        <w:rPr>
          <w:rFonts w:hint="eastAsia" w:ascii="宋体" w:hAnsi="宋体" w:cs="宋体"/>
          <w:b/>
          <w:sz w:val="32"/>
          <w:szCs w:val="32"/>
        </w:rPr>
        <w:t>（资格后审）</w:t>
      </w:r>
    </w:p>
    <w:p w14:paraId="2C19AB18">
      <w:pPr>
        <w:spacing w:line="800" w:lineRule="exact"/>
        <w:jc w:val="center"/>
        <w:rPr>
          <w:rFonts w:ascii="宋体" w:hAnsi="宋体" w:cs="宋体"/>
          <w:b/>
          <w:sz w:val="52"/>
          <w:szCs w:val="52"/>
        </w:rPr>
      </w:pPr>
    </w:p>
    <w:p w14:paraId="6D147A99">
      <w:pPr>
        <w:spacing w:line="800" w:lineRule="exact"/>
        <w:jc w:val="center"/>
        <w:rPr>
          <w:rFonts w:ascii="宋体" w:hAnsi="宋体" w:cs="宋体"/>
          <w:b/>
          <w:sz w:val="52"/>
          <w:szCs w:val="52"/>
        </w:rPr>
      </w:pPr>
    </w:p>
    <w:p w14:paraId="4A1653F0">
      <w:pPr>
        <w:spacing w:line="800" w:lineRule="exact"/>
        <w:jc w:val="center"/>
        <w:rPr>
          <w:rFonts w:ascii="宋体" w:hAnsi="宋体" w:cs="宋体"/>
          <w:b/>
          <w:sz w:val="52"/>
          <w:szCs w:val="52"/>
        </w:rPr>
      </w:pPr>
    </w:p>
    <w:p w14:paraId="59D3E7B1">
      <w:pPr>
        <w:spacing w:line="800" w:lineRule="exact"/>
        <w:jc w:val="center"/>
        <w:rPr>
          <w:rFonts w:ascii="宋体" w:hAnsi="宋体" w:cs="宋体"/>
          <w:b/>
          <w:sz w:val="52"/>
          <w:szCs w:val="52"/>
        </w:rPr>
      </w:pPr>
    </w:p>
    <w:p w14:paraId="425FA4AC">
      <w:pPr>
        <w:spacing w:line="360" w:lineRule="auto"/>
        <w:ind w:firstLine="1937" w:firstLineChars="692"/>
        <w:jc w:val="left"/>
        <w:rPr>
          <w:rFonts w:asciiTheme="minorEastAsia" w:hAnsiTheme="minorEastAsia" w:eastAsiaTheme="minorEastAsia"/>
          <w:color w:val="000000"/>
          <w:sz w:val="28"/>
        </w:rPr>
      </w:pPr>
      <w:r>
        <w:rPr>
          <w:rFonts w:hint="eastAsia" w:ascii="宋体" w:hAnsi="宋体"/>
          <w:sz w:val="28"/>
          <w:szCs w:val="28"/>
        </w:rPr>
        <w:t>招标人：南通浩宏市政工程有限公司</w:t>
      </w:r>
    </w:p>
    <w:p w14:paraId="694B4A93">
      <w:pPr>
        <w:spacing w:line="600" w:lineRule="exact"/>
        <w:jc w:val="center"/>
        <w:rPr>
          <w:rFonts w:ascii="宋体" w:hAnsi="宋体"/>
          <w:sz w:val="28"/>
          <w:szCs w:val="28"/>
        </w:rPr>
      </w:pPr>
      <w:r>
        <w:rPr>
          <w:rFonts w:hint="eastAsia" w:ascii="宋体" w:hAnsi="宋体"/>
          <w:sz w:val="28"/>
          <w:szCs w:val="28"/>
        </w:rPr>
        <w:t>招标代理：南通市通州天元建设监理咨询有限公司</w:t>
      </w:r>
    </w:p>
    <w:p w14:paraId="2FEBCB70">
      <w:pPr>
        <w:spacing w:line="560" w:lineRule="exact"/>
        <w:jc w:val="center"/>
        <w:rPr>
          <w:rFonts w:ascii="宋体" w:hAnsi="宋体"/>
          <w:sz w:val="28"/>
          <w:szCs w:val="28"/>
        </w:rPr>
      </w:pPr>
      <w:r>
        <w:rPr>
          <w:rFonts w:hint="eastAsia" w:ascii="宋体" w:hAnsi="宋体"/>
          <w:sz w:val="28"/>
          <w:szCs w:val="28"/>
        </w:rPr>
        <w:t>2026年8月</w:t>
      </w:r>
    </w:p>
    <w:p w14:paraId="2E7B926B">
      <w:pPr>
        <w:keepNext/>
        <w:keepLines/>
        <w:spacing w:before="340" w:after="330" w:line="400" w:lineRule="exact"/>
        <w:jc w:val="center"/>
        <w:outlineLvl w:val="0"/>
        <w:rPr>
          <w:rFonts w:ascii="宋体" w:hAnsi="宋体"/>
          <w:b/>
          <w:kern w:val="44"/>
          <w:sz w:val="32"/>
          <w:szCs w:val="44"/>
        </w:rPr>
      </w:pPr>
      <w:bookmarkStart w:id="0" w:name="_Toc81045835"/>
      <w:bookmarkStart w:id="1" w:name="_Toc52620569"/>
      <w:bookmarkStart w:id="2" w:name="_Toc398107826"/>
      <w:r>
        <w:rPr>
          <w:rFonts w:hint="eastAsia" w:ascii="宋体" w:hAnsi="宋体"/>
          <w:b/>
          <w:kern w:val="44"/>
          <w:sz w:val="32"/>
          <w:szCs w:val="44"/>
        </w:rPr>
        <w:t>招标文件备案表</w:t>
      </w:r>
      <w:bookmarkEnd w:id="0"/>
      <w:bookmarkEnd w:id="1"/>
    </w:p>
    <w:tbl>
      <w:tblPr>
        <w:tblStyle w:val="14"/>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9"/>
        <w:gridCol w:w="7141"/>
      </w:tblGrid>
      <w:tr w14:paraId="0745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6" w:hRule="atLeast"/>
          <w:jc w:val="center"/>
        </w:trPr>
        <w:tc>
          <w:tcPr>
            <w:tcW w:w="1779" w:type="dxa"/>
            <w:vAlign w:val="center"/>
          </w:tcPr>
          <w:p w14:paraId="16390FC7">
            <w:pPr>
              <w:spacing w:after="120"/>
              <w:jc w:val="center"/>
              <w:rPr>
                <w:rFonts w:ascii="宋体" w:hAnsi="宋体" w:cs="宋体"/>
                <w:spacing w:val="32"/>
                <w:sz w:val="28"/>
                <w:szCs w:val="28"/>
              </w:rPr>
            </w:pPr>
            <w:r>
              <w:rPr>
                <w:rFonts w:hint="eastAsia" w:ascii="宋体" w:hAnsi="宋体" w:cs="宋体"/>
                <w:spacing w:val="32"/>
                <w:sz w:val="28"/>
                <w:szCs w:val="28"/>
              </w:rPr>
              <w:t>招标代理</w:t>
            </w:r>
          </w:p>
        </w:tc>
        <w:tc>
          <w:tcPr>
            <w:tcW w:w="7141" w:type="dxa"/>
          </w:tcPr>
          <w:p w14:paraId="46A06BDE">
            <w:pPr>
              <w:spacing w:after="120"/>
              <w:rPr>
                <w:rFonts w:ascii="宋体" w:hAnsi="宋体" w:cs="宋体"/>
                <w:sz w:val="28"/>
                <w:szCs w:val="28"/>
              </w:rPr>
            </w:pPr>
          </w:p>
          <w:p w14:paraId="54668C5B">
            <w:pPr>
              <w:spacing w:after="120"/>
              <w:rPr>
                <w:rFonts w:ascii="宋体" w:hAnsi="宋体" w:cs="宋体"/>
                <w:sz w:val="28"/>
                <w:szCs w:val="28"/>
              </w:rPr>
            </w:pPr>
            <w:r>
              <w:rPr>
                <w:rFonts w:hint="eastAsia" w:ascii="宋体" w:hAnsi="宋体" w:cs="宋体"/>
                <w:sz w:val="28"/>
                <w:szCs w:val="28"/>
              </w:rPr>
              <w:t>编制人(签名)：</w:t>
            </w:r>
          </w:p>
          <w:p w14:paraId="5B0782D4">
            <w:pPr>
              <w:spacing w:after="120"/>
              <w:rPr>
                <w:rFonts w:ascii="宋体" w:hAnsi="宋体" w:cs="宋体"/>
                <w:sz w:val="28"/>
                <w:szCs w:val="28"/>
              </w:rPr>
            </w:pPr>
          </w:p>
          <w:p w14:paraId="369D514D">
            <w:pPr>
              <w:rPr>
                <w:rFonts w:ascii="宋体" w:hAnsi="宋体" w:cs="宋体"/>
                <w:sz w:val="28"/>
                <w:szCs w:val="28"/>
              </w:rPr>
            </w:pPr>
            <w:r>
              <w:rPr>
                <w:rFonts w:hint="eastAsia" w:ascii="宋体" w:hAnsi="宋体" w:cs="宋体"/>
                <w:spacing w:val="32"/>
                <w:sz w:val="28"/>
                <w:szCs w:val="28"/>
              </w:rPr>
              <w:t>招标代理：（</w:t>
            </w:r>
            <w:r>
              <w:rPr>
                <w:rFonts w:hint="eastAsia" w:ascii="宋体" w:hAnsi="宋体" w:cs="宋体"/>
                <w:sz w:val="28"/>
                <w:szCs w:val="28"/>
              </w:rPr>
              <w:t>公章）</w:t>
            </w:r>
          </w:p>
          <w:p w14:paraId="3E9A6D49">
            <w:pPr>
              <w:rPr>
                <w:rFonts w:ascii="宋体" w:hAnsi="宋体" w:cs="宋体"/>
                <w:sz w:val="28"/>
                <w:szCs w:val="28"/>
              </w:rPr>
            </w:pPr>
          </w:p>
          <w:p w14:paraId="56584575">
            <w:pPr>
              <w:ind w:firstLine="3920" w:firstLineChars="1400"/>
              <w:jc w:val="right"/>
              <w:rPr>
                <w:rFonts w:ascii="宋体" w:hAnsi="宋体" w:cs="宋体"/>
                <w:sz w:val="28"/>
                <w:szCs w:val="28"/>
              </w:rPr>
            </w:pPr>
            <w:r>
              <w:rPr>
                <w:rFonts w:hint="eastAsia" w:ascii="宋体" w:hAnsi="宋体" w:cs="宋体"/>
                <w:sz w:val="28"/>
                <w:szCs w:val="28"/>
              </w:rPr>
              <w:t>2026年  月  日</w:t>
            </w:r>
          </w:p>
        </w:tc>
      </w:tr>
      <w:tr w14:paraId="3D10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7" w:hRule="atLeast"/>
          <w:jc w:val="center"/>
        </w:trPr>
        <w:tc>
          <w:tcPr>
            <w:tcW w:w="1779" w:type="dxa"/>
            <w:vMerge w:val="restart"/>
            <w:vAlign w:val="center"/>
          </w:tcPr>
          <w:p w14:paraId="10A38FFA">
            <w:pPr>
              <w:spacing w:after="120"/>
              <w:jc w:val="center"/>
              <w:rPr>
                <w:rFonts w:ascii="宋体" w:hAnsi="宋体" w:cs="宋体"/>
                <w:sz w:val="28"/>
                <w:szCs w:val="28"/>
              </w:rPr>
            </w:pPr>
            <w:r>
              <w:rPr>
                <w:rFonts w:hint="eastAsia" w:ascii="宋体" w:hAnsi="宋体" w:cs="宋体"/>
                <w:sz w:val="28"/>
                <w:szCs w:val="28"/>
              </w:rPr>
              <w:t>招标人</w:t>
            </w:r>
          </w:p>
        </w:tc>
        <w:tc>
          <w:tcPr>
            <w:tcW w:w="7141" w:type="dxa"/>
          </w:tcPr>
          <w:p w14:paraId="49EE033B">
            <w:pPr>
              <w:spacing w:after="120"/>
              <w:rPr>
                <w:rFonts w:ascii="宋体" w:hAnsi="宋体" w:cs="宋体"/>
                <w:sz w:val="28"/>
                <w:szCs w:val="28"/>
              </w:rPr>
            </w:pPr>
          </w:p>
          <w:p w14:paraId="1DBD30C3">
            <w:pPr>
              <w:spacing w:after="120"/>
              <w:rPr>
                <w:rFonts w:ascii="宋体" w:hAnsi="宋体" w:cs="宋体"/>
                <w:sz w:val="28"/>
                <w:szCs w:val="28"/>
              </w:rPr>
            </w:pPr>
            <w:r>
              <w:rPr>
                <w:rFonts w:hint="eastAsia" w:ascii="宋体" w:hAnsi="宋体" w:cs="宋体"/>
                <w:sz w:val="28"/>
                <w:szCs w:val="28"/>
              </w:rPr>
              <w:t xml:space="preserve">审阅人(签名)：  </w:t>
            </w:r>
          </w:p>
          <w:p w14:paraId="76AA11CD">
            <w:pPr>
              <w:spacing w:after="120"/>
              <w:rPr>
                <w:rFonts w:ascii="宋体" w:hAnsi="宋体" w:cs="宋体"/>
                <w:sz w:val="28"/>
                <w:szCs w:val="28"/>
              </w:rPr>
            </w:pPr>
          </w:p>
          <w:p w14:paraId="68538EF1">
            <w:pPr>
              <w:spacing w:after="120"/>
              <w:jc w:val="right"/>
              <w:rPr>
                <w:rFonts w:ascii="宋体" w:hAnsi="宋体" w:cs="宋体"/>
                <w:sz w:val="28"/>
                <w:szCs w:val="28"/>
              </w:rPr>
            </w:pPr>
            <w:r>
              <w:rPr>
                <w:rFonts w:hint="eastAsia" w:ascii="宋体" w:hAnsi="宋体" w:cs="宋体"/>
                <w:sz w:val="28"/>
                <w:szCs w:val="28"/>
              </w:rPr>
              <w:t xml:space="preserve">       2026年  月  日</w:t>
            </w:r>
          </w:p>
        </w:tc>
      </w:tr>
      <w:tr w14:paraId="0F39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2" w:hRule="atLeast"/>
          <w:jc w:val="center"/>
        </w:trPr>
        <w:tc>
          <w:tcPr>
            <w:tcW w:w="1779" w:type="dxa"/>
            <w:vMerge w:val="continue"/>
          </w:tcPr>
          <w:p w14:paraId="2BAEC9CD">
            <w:pPr>
              <w:spacing w:after="120"/>
              <w:jc w:val="center"/>
              <w:rPr>
                <w:rFonts w:ascii="宋体" w:hAnsi="宋体" w:cs="宋体"/>
                <w:spacing w:val="32"/>
                <w:sz w:val="28"/>
                <w:szCs w:val="28"/>
              </w:rPr>
            </w:pPr>
          </w:p>
        </w:tc>
        <w:tc>
          <w:tcPr>
            <w:tcW w:w="7141" w:type="dxa"/>
          </w:tcPr>
          <w:p w14:paraId="67E2EF25">
            <w:pPr>
              <w:spacing w:after="120"/>
              <w:rPr>
                <w:rFonts w:ascii="宋体" w:hAnsi="宋体" w:cs="宋体"/>
                <w:sz w:val="28"/>
                <w:szCs w:val="28"/>
              </w:rPr>
            </w:pPr>
          </w:p>
          <w:p w14:paraId="5DACF509">
            <w:pPr>
              <w:spacing w:after="120"/>
              <w:rPr>
                <w:rFonts w:ascii="宋体" w:hAnsi="宋体" w:cs="宋体"/>
                <w:sz w:val="28"/>
                <w:szCs w:val="28"/>
              </w:rPr>
            </w:pPr>
          </w:p>
          <w:p w14:paraId="2213F123">
            <w:pPr>
              <w:spacing w:after="120"/>
              <w:rPr>
                <w:rFonts w:ascii="宋体" w:hAnsi="宋体" w:cs="宋体"/>
                <w:sz w:val="28"/>
                <w:szCs w:val="28"/>
              </w:rPr>
            </w:pPr>
            <w:r>
              <w:rPr>
                <w:rFonts w:hint="eastAsia" w:ascii="宋体" w:hAnsi="宋体" w:cs="宋体"/>
                <w:sz w:val="28"/>
                <w:szCs w:val="28"/>
              </w:rPr>
              <w:t>招标人：  （公章）</w:t>
            </w:r>
          </w:p>
          <w:p w14:paraId="0CAB4D9F">
            <w:pPr>
              <w:spacing w:after="120"/>
              <w:rPr>
                <w:rFonts w:ascii="宋体" w:hAnsi="宋体" w:cs="宋体"/>
                <w:sz w:val="28"/>
                <w:szCs w:val="28"/>
              </w:rPr>
            </w:pPr>
          </w:p>
          <w:p w14:paraId="4F4D30A4">
            <w:pPr>
              <w:spacing w:after="120"/>
              <w:rPr>
                <w:rFonts w:ascii="宋体" w:hAnsi="宋体" w:cs="宋体"/>
                <w:sz w:val="28"/>
                <w:szCs w:val="28"/>
              </w:rPr>
            </w:pPr>
          </w:p>
        </w:tc>
      </w:tr>
    </w:tbl>
    <w:p w14:paraId="47EABC15">
      <w:pPr>
        <w:rPr>
          <w:rFonts w:ascii="宋体" w:hAnsi="宋体" w:cs="宋体"/>
          <w:sz w:val="32"/>
          <w:szCs w:val="32"/>
        </w:rPr>
      </w:pPr>
    </w:p>
    <w:p w14:paraId="3036FF4A">
      <w:pPr>
        <w:rPr>
          <w:rFonts w:ascii="宋体" w:hAnsi="宋体" w:cs="宋体"/>
          <w:sz w:val="32"/>
          <w:szCs w:val="32"/>
        </w:rPr>
      </w:pPr>
    </w:p>
    <w:p w14:paraId="1041A96C">
      <w:pPr>
        <w:rPr>
          <w:rFonts w:ascii="宋体" w:hAnsi="宋体" w:cs="宋体"/>
          <w:sz w:val="32"/>
          <w:szCs w:val="32"/>
        </w:rPr>
      </w:pPr>
    </w:p>
    <w:p w14:paraId="362C50A7">
      <w:pPr>
        <w:pStyle w:val="2"/>
        <w:spacing w:line="460" w:lineRule="exact"/>
        <w:jc w:val="center"/>
        <w:rPr>
          <w:rFonts w:ascii="宋体" w:hAnsi="宋体" w:cs="宋体"/>
          <w:sz w:val="32"/>
          <w:szCs w:val="32"/>
        </w:rPr>
      </w:pPr>
      <w:r>
        <w:rPr>
          <w:rFonts w:hint="eastAsia" w:ascii="宋体" w:hAnsi="宋体" w:cs="宋体"/>
          <w:sz w:val="32"/>
          <w:szCs w:val="32"/>
        </w:rPr>
        <w:t>第一章  招标公告</w:t>
      </w:r>
      <w:bookmarkEnd w:id="2"/>
    </w:p>
    <w:p w14:paraId="522AB3AB">
      <w:pPr>
        <w:spacing w:line="400" w:lineRule="exact"/>
        <w:jc w:val="center"/>
        <w:rPr>
          <w:rFonts w:ascii="宋体" w:hAnsi="宋体"/>
          <w:sz w:val="30"/>
          <w:szCs w:val="30"/>
        </w:rPr>
      </w:pPr>
      <w:bookmarkStart w:id="3" w:name="OLE_LINK1"/>
      <w:r>
        <w:rPr>
          <w:rFonts w:hint="eastAsia" w:ascii="宋体" w:hAnsi="宋体"/>
          <w:sz w:val="30"/>
          <w:szCs w:val="30"/>
        </w:rPr>
        <w:t>希望大桥北岸供电杆线迁改工程及2026年新建小区外线接入工程（庆园、隐湖别苑、云和锦上花园）等项目</w:t>
      </w:r>
    </w:p>
    <w:p w14:paraId="778CDACC">
      <w:pPr>
        <w:spacing w:line="400" w:lineRule="exact"/>
        <w:jc w:val="center"/>
        <w:rPr>
          <w:rFonts w:ascii="宋体" w:hAnsi="宋体" w:cs="宋体"/>
          <w:sz w:val="30"/>
          <w:szCs w:val="30"/>
        </w:rPr>
      </w:pPr>
      <w:r>
        <w:rPr>
          <w:rFonts w:hint="eastAsia" w:ascii="宋体" w:hAnsi="宋体"/>
          <w:sz w:val="30"/>
          <w:szCs w:val="30"/>
        </w:rPr>
        <w:t>供电监理</w:t>
      </w:r>
      <w:r>
        <w:rPr>
          <w:rFonts w:hint="eastAsia" w:ascii="宋体" w:hAnsi="宋体" w:cs="宋体"/>
          <w:sz w:val="30"/>
          <w:szCs w:val="30"/>
        </w:rPr>
        <w:t>招标公告（资格后审）</w:t>
      </w:r>
    </w:p>
    <w:bookmarkEnd w:id="3"/>
    <w:p w14:paraId="0A0B81BB">
      <w:pPr>
        <w:keepNext/>
        <w:keepLines/>
        <w:adjustRightInd w:val="0"/>
        <w:snapToGrid w:val="0"/>
        <w:spacing w:line="440" w:lineRule="exact"/>
        <w:outlineLvl w:val="1"/>
        <w:rPr>
          <w:rFonts w:ascii="宋体" w:hAnsi="宋体" w:cs="宋体"/>
          <w:b/>
          <w:bCs/>
          <w:szCs w:val="21"/>
        </w:rPr>
      </w:pPr>
      <w:bookmarkStart w:id="4" w:name="_Toc1720132"/>
      <w:bookmarkStart w:id="5" w:name="_Toc389065122"/>
      <w:bookmarkStart w:id="6" w:name="_Toc508286057"/>
      <w:bookmarkStart w:id="7" w:name="_Toc398107835"/>
      <w:r>
        <w:rPr>
          <w:rFonts w:ascii="宋体" w:hAnsi="宋体" w:cs="宋体"/>
          <w:b/>
          <w:bCs/>
          <w:sz w:val="24"/>
        </w:rPr>
        <w:t>1.</w:t>
      </w:r>
      <w:r>
        <w:rPr>
          <w:rFonts w:hint="eastAsia" w:ascii="宋体" w:hAnsi="宋体" w:cs="宋体"/>
          <w:b/>
          <w:bCs/>
          <w:szCs w:val="21"/>
        </w:rPr>
        <w:t>招标条件</w:t>
      </w:r>
      <w:bookmarkEnd w:id="4"/>
      <w:bookmarkEnd w:id="5"/>
      <w:bookmarkEnd w:id="6"/>
    </w:p>
    <w:p w14:paraId="1FDEFAA1">
      <w:pPr>
        <w:adjustRightInd w:val="0"/>
        <w:snapToGrid w:val="0"/>
        <w:spacing w:line="380" w:lineRule="exact"/>
        <w:ind w:firstLine="525" w:firstLineChars="250"/>
        <w:rPr>
          <w:rFonts w:ascii="宋体" w:hAnsi="宋体" w:cs="宋体"/>
          <w:szCs w:val="21"/>
        </w:rPr>
      </w:pPr>
      <w:r>
        <w:rPr>
          <w:rFonts w:hint="eastAsia" w:ascii="宋体" w:hAnsi="宋体" w:cs="宋体"/>
          <w:szCs w:val="21"/>
        </w:rPr>
        <w:t>本招标项目</w:t>
      </w:r>
      <w:r>
        <w:rPr>
          <w:rFonts w:hint="eastAsia" w:ascii="宋体" w:hAnsi="宋体" w:cs="宋体"/>
          <w:szCs w:val="21"/>
          <w:u w:val="single"/>
        </w:rPr>
        <w:t>希望大桥北岸供电杆线迁改工程及2026年新建小区外线接入工程（庆园、隐湖别苑、云和锦上花园）等项目</w:t>
      </w:r>
      <w:r>
        <w:rPr>
          <w:rFonts w:hint="eastAsia" w:ascii="宋体" w:hAnsi="宋体" w:cs="宋体"/>
          <w:szCs w:val="21"/>
        </w:rPr>
        <w:t>已经</w:t>
      </w:r>
      <w:r>
        <w:rPr>
          <w:rFonts w:hint="eastAsia" w:ascii="宋体" w:hAnsi="宋体" w:cs="宋体"/>
          <w:szCs w:val="21"/>
          <w:u w:val="single"/>
        </w:rPr>
        <w:t xml:space="preserve"> 上级部门 </w:t>
      </w:r>
      <w:r>
        <w:rPr>
          <w:rFonts w:hint="eastAsia" w:ascii="宋体" w:hAnsi="宋体" w:cs="宋体"/>
          <w:szCs w:val="21"/>
        </w:rPr>
        <w:t>批准实施，项目业主为</w:t>
      </w:r>
      <w:r>
        <w:rPr>
          <w:rFonts w:hint="eastAsia" w:ascii="宋体" w:hAnsi="宋体" w:cs="宋体"/>
          <w:szCs w:val="21"/>
          <w:u w:val="single"/>
        </w:rPr>
        <w:t>南通浩宏市政工程有限公司</w:t>
      </w:r>
      <w:r>
        <w:rPr>
          <w:rFonts w:hint="eastAsia" w:ascii="宋体" w:hAnsi="宋体" w:cs="宋体"/>
          <w:szCs w:val="21"/>
        </w:rPr>
        <w:t>，建设资金来自</w:t>
      </w:r>
      <w:r>
        <w:rPr>
          <w:rFonts w:hint="eastAsia" w:ascii="宋体" w:hAnsi="宋体" w:cs="宋体"/>
          <w:szCs w:val="21"/>
          <w:u w:val="single"/>
        </w:rPr>
        <w:t>国企自筹</w:t>
      </w:r>
      <w:r>
        <w:rPr>
          <w:rFonts w:hint="eastAsia" w:ascii="宋体" w:hAnsi="宋体" w:cs="宋体"/>
          <w:szCs w:val="21"/>
        </w:rPr>
        <w:t>，项目出资比例为100%。项目已具备招标条件，现对该项目</w:t>
      </w:r>
      <w:r>
        <w:rPr>
          <w:rFonts w:hint="eastAsia" w:ascii="宋体" w:hAnsi="宋体" w:cs="宋体"/>
          <w:szCs w:val="21"/>
          <w:u w:val="single"/>
        </w:rPr>
        <w:t>供电监理</w:t>
      </w:r>
      <w:r>
        <w:rPr>
          <w:rFonts w:hint="eastAsia" w:ascii="宋体" w:hAnsi="宋体" w:cs="宋体"/>
          <w:szCs w:val="21"/>
        </w:rPr>
        <w:t>进行公开招标，特邀请有兴趣的潜在投标人参加投标。</w:t>
      </w:r>
    </w:p>
    <w:p w14:paraId="572251C8">
      <w:pPr>
        <w:keepNext/>
        <w:keepLines/>
        <w:adjustRightInd w:val="0"/>
        <w:snapToGrid w:val="0"/>
        <w:spacing w:line="480" w:lineRule="exact"/>
        <w:outlineLvl w:val="1"/>
        <w:rPr>
          <w:rFonts w:ascii="宋体" w:hAnsi="宋体" w:cs="宋体"/>
          <w:b/>
          <w:bCs/>
          <w:szCs w:val="21"/>
        </w:rPr>
      </w:pPr>
      <w:bookmarkStart w:id="8" w:name="_Toc1720133"/>
      <w:bookmarkStart w:id="9" w:name="_Toc389065123"/>
      <w:bookmarkStart w:id="10" w:name="_Toc508286058"/>
      <w:r>
        <w:rPr>
          <w:rFonts w:ascii="宋体" w:hAnsi="宋体" w:cs="宋体"/>
          <w:b/>
          <w:bCs/>
          <w:szCs w:val="21"/>
        </w:rPr>
        <w:t>2.</w:t>
      </w:r>
      <w:r>
        <w:rPr>
          <w:rFonts w:hint="eastAsia" w:ascii="宋体" w:hAnsi="宋体" w:cs="宋体"/>
          <w:b/>
          <w:bCs/>
          <w:szCs w:val="21"/>
        </w:rPr>
        <w:t>项目概况与招标范围</w:t>
      </w:r>
      <w:bookmarkEnd w:id="8"/>
      <w:bookmarkEnd w:id="9"/>
      <w:bookmarkEnd w:id="10"/>
    </w:p>
    <w:p w14:paraId="53224D4F">
      <w:pPr>
        <w:adjustRightInd w:val="0"/>
        <w:snapToGrid w:val="0"/>
        <w:spacing w:line="360" w:lineRule="exact"/>
        <w:ind w:firstLine="525" w:firstLineChars="250"/>
        <w:rPr>
          <w:rFonts w:cs="宋体" w:asciiTheme="minorEastAsia" w:hAnsiTheme="minorEastAsia" w:eastAsiaTheme="minorEastAsia"/>
        </w:rPr>
      </w:pPr>
      <w:r>
        <w:rPr>
          <w:rFonts w:hint="eastAsia" w:ascii="宋体" w:hAnsi="宋体" w:cs="宋体"/>
          <w:szCs w:val="21"/>
        </w:rPr>
        <w:t>2.1项目概况：希望大桥北岸供电杆线迁改工程及2026年新建小区外线接入工程（庆园、隐湖别苑、云和锦上花园）等项目供电监理</w:t>
      </w:r>
      <w:r>
        <w:rPr>
          <w:rFonts w:hint="eastAsia" w:cs="宋体" w:asciiTheme="minorEastAsia" w:hAnsiTheme="minorEastAsia" w:eastAsiaTheme="minorEastAsia"/>
          <w:color w:val="000000"/>
          <w:kern w:val="0"/>
          <w:szCs w:val="21"/>
        </w:rPr>
        <w:t>。</w:t>
      </w:r>
    </w:p>
    <w:p w14:paraId="4C63812E">
      <w:pPr>
        <w:spacing w:line="360" w:lineRule="exact"/>
        <w:ind w:firstLine="420" w:firstLineChars="200"/>
        <w:rPr>
          <w:rFonts w:ascii="宋体" w:hAnsi="宋体" w:cs="宋体"/>
          <w:b/>
          <w:szCs w:val="21"/>
        </w:rPr>
      </w:pPr>
      <w:r>
        <w:rPr>
          <w:rFonts w:hint="eastAsia" w:ascii="宋体" w:hAnsi="宋体" w:cs="宋体"/>
          <w:szCs w:val="21"/>
        </w:rPr>
        <w:t>2.1.1建设地点：</w:t>
      </w:r>
      <w:r>
        <w:rPr>
          <w:rFonts w:hint="eastAsia" w:cs="宋体" w:asciiTheme="minorEastAsia" w:hAnsiTheme="minorEastAsia" w:eastAsiaTheme="minorEastAsia"/>
        </w:rPr>
        <w:t>南通市通州区。</w:t>
      </w:r>
    </w:p>
    <w:p w14:paraId="304BFC28">
      <w:pPr>
        <w:spacing w:line="360" w:lineRule="exact"/>
        <w:ind w:firstLine="420" w:firstLineChars="200"/>
        <w:rPr>
          <w:rFonts w:ascii="宋体" w:hAnsi="宋体" w:cs="宋体"/>
          <w:b/>
          <w:szCs w:val="21"/>
        </w:rPr>
      </w:pPr>
      <w:r>
        <w:rPr>
          <w:rFonts w:hint="eastAsia" w:ascii="宋体" w:hAnsi="宋体" w:cs="宋体"/>
          <w:szCs w:val="21"/>
        </w:rPr>
        <w:t>2.1.2最高限价：</w:t>
      </w:r>
      <w:r>
        <w:rPr>
          <w:rFonts w:hint="eastAsia" w:cs="宋体" w:asciiTheme="minorEastAsia" w:hAnsiTheme="minorEastAsia" w:eastAsiaTheme="minorEastAsia"/>
          <w:b/>
          <w:bCs/>
          <w:color w:val="0C0C0C" w:themeColor="text1" w:themeTint="F2"/>
        </w:rPr>
        <w:t>财政概算建安费</w:t>
      </w:r>
      <w:r>
        <w:rPr>
          <w:rFonts w:ascii="Arial" w:hAnsi="Arial" w:cs="Arial" w:eastAsiaTheme="minorEastAsia"/>
          <w:b/>
          <w:bCs/>
          <w:color w:val="0C0C0C" w:themeColor="text1" w:themeTint="F2"/>
        </w:rPr>
        <w:t>×</w:t>
      </w:r>
      <w:r>
        <w:rPr>
          <w:rFonts w:hint="eastAsia" w:cs="宋体" w:asciiTheme="minorEastAsia" w:hAnsiTheme="minorEastAsia" w:eastAsiaTheme="minorEastAsia"/>
          <w:b/>
          <w:bCs/>
          <w:color w:val="0C0C0C" w:themeColor="text1" w:themeTint="F2"/>
        </w:rPr>
        <w:t>1.</w:t>
      </w:r>
      <w:r>
        <w:rPr>
          <w:rFonts w:hint="eastAsia" w:cs="宋体" w:asciiTheme="minorEastAsia" w:hAnsiTheme="minorEastAsia" w:eastAsiaTheme="minorEastAsia"/>
          <w:b/>
          <w:bCs/>
          <w:color w:val="0C0C0C" w:themeColor="text1" w:themeTint="F2"/>
          <w:lang w:val="en-US" w:eastAsia="zh-CN"/>
        </w:rPr>
        <w:t>27</w:t>
      </w:r>
      <w:r>
        <w:rPr>
          <w:rFonts w:hint="eastAsia" w:cs="宋体" w:asciiTheme="minorEastAsia" w:hAnsiTheme="minorEastAsia" w:eastAsiaTheme="minorEastAsia"/>
          <w:b/>
          <w:bCs/>
          <w:color w:val="0C0C0C" w:themeColor="text1" w:themeTint="F2"/>
        </w:rPr>
        <w:t>%</w:t>
      </w:r>
    </w:p>
    <w:p w14:paraId="437732A3">
      <w:pPr>
        <w:adjustRightInd w:val="0"/>
        <w:snapToGrid w:val="0"/>
        <w:spacing w:line="360" w:lineRule="exact"/>
        <w:ind w:firstLine="420" w:firstLineChars="200"/>
        <w:rPr>
          <w:rFonts w:ascii="宋体" w:hAnsi="宋体" w:cs="宋体"/>
          <w:szCs w:val="21"/>
        </w:rPr>
      </w:pPr>
      <w:r>
        <w:rPr>
          <w:rFonts w:hint="eastAsia" w:ascii="宋体" w:hAnsi="宋体" w:cs="宋体"/>
          <w:szCs w:val="21"/>
        </w:rPr>
        <w:t>2.1.4</w:t>
      </w:r>
      <w:r>
        <w:rPr>
          <w:rFonts w:hint="eastAsia" w:ascii="宋体" w:hAnsi="宋体" w:cs="宋体"/>
          <w:color w:val="000000" w:themeColor="text1"/>
          <w:szCs w:val="21"/>
        </w:rPr>
        <w:t>监理服务期</w:t>
      </w:r>
      <w:r>
        <w:rPr>
          <w:rFonts w:hint="eastAsia" w:ascii="宋体" w:hAnsi="宋体" w:cs="宋体"/>
          <w:szCs w:val="21"/>
        </w:rPr>
        <w:t>：</w:t>
      </w:r>
      <w:r>
        <w:rPr>
          <w:rFonts w:hint="eastAsia" w:cs="宋体" w:asciiTheme="minorEastAsia" w:hAnsiTheme="minorEastAsia" w:eastAsiaTheme="minorEastAsia"/>
          <w:u w:val="none"/>
        </w:rPr>
        <w:t>自施工准备阶段至项目竣工全过程监理包含保修期（缺陷责任期）</w:t>
      </w:r>
      <w:r>
        <w:rPr>
          <w:rFonts w:hint="eastAsia" w:ascii="宋体" w:hAnsi="宋体" w:cs="宋体"/>
          <w:szCs w:val="21"/>
        </w:rPr>
        <w:t>。</w:t>
      </w:r>
    </w:p>
    <w:p w14:paraId="1F5D9BEC">
      <w:pPr>
        <w:adjustRightInd w:val="0"/>
        <w:snapToGrid w:val="0"/>
        <w:spacing w:line="360" w:lineRule="exact"/>
        <w:ind w:firstLine="420" w:firstLineChars="200"/>
        <w:rPr>
          <w:rFonts w:ascii="宋体" w:hAnsi="宋体" w:cs="宋体"/>
          <w:szCs w:val="21"/>
        </w:rPr>
      </w:pPr>
      <w:r>
        <w:rPr>
          <w:rFonts w:hint="eastAsia" w:ascii="宋体" w:hAnsi="宋体" w:cs="宋体"/>
          <w:color w:val="000000" w:themeColor="text1"/>
          <w:szCs w:val="21"/>
        </w:rPr>
        <w:t>2.2招标范围：包括但不限于：①施工及保修阶段监理；②其它与工程有关的必不可少的配套项目（含材料设备的采购等）的监理。</w:t>
      </w:r>
    </w:p>
    <w:p w14:paraId="57604F19">
      <w:pPr>
        <w:pStyle w:val="3"/>
        <w:spacing w:line="400" w:lineRule="exact"/>
        <w:rPr>
          <w:rFonts w:ascii="宋体" w:hAnsi="宋体" w:eastAsia="宋体" w:cs="宋体"/>
          <w:b/>
          <w:bCs w:val="0"/>
          <w:color w:val="000000" w:themeColor="text1"/>
          <w:sz w:val="21"/>
          <w:szCs w:val="21"/>
        </w:rPr>
      </w:pPr>
      <w:bookmarkStart w:id="11" w:name="_Toc398107829"/>
      <w:r>
        <w:rPr>
          <w:rFonts w:hint="eastAsia" w:ascii="宋体" w:hAnsi="宋体" w:eastAsia="宋体" w:cs="宋体"/>
          <w:b/>
          <w:bCs w:val="0"/>
          <w:color w:val="000000" w:themeColor="text1"/>
          <w:sz w:val="21"/>
          <w:szCs w:val="21"/>
        </w:rPr>
        <w:t>3.投标人资格要求</w:t>
      </w:r>
      <w:bookmarkEnd w:id="11"/>
    </w:p>
    <w:p w14:paraId="10D4F72B">
      <w:pPr>
        <w:spacing w:line="360" w:lineRule="exact"/>
        <w:ind w:firstLine="437"/>
        <w:rPr>
          <w:rFonts w:ascii="宋体" w:hAnsi="宋体" w:cs="宋体"/>
          <w:color w:val="0C0C0C" w:themeColor="text1" w:themeTint="F2"/>
        </w:rPr>
      </w:pPr>
      <w:bookmarkStart w:id="12" w:name="_Toc398107830"/>
      <w:r>
        <w:rPr>
          <w:rFonts w:hint="eastAsia" w:ascii="宋体" w:hAnsi="宋体" w:cs="宋体"/>
          <w:color w:val="0C0C0C" w:themeColor="text1" w:themeTint="F2"/>
        </w:rPr>
        <w:t>本次招标采取资格后审方式，对投标人应具备的资格要求如下：</w:t>
      </w:r>
    </w:p>
    <w:p w14:paraId="5DF03F14">
      <w:pPr>
        <w:widowControl/>
        <w:shd w:val="clear" w:color="auto" w:fill="FFFFFF"/>
        <w:spacing w:line="360" w:lineRule="exact"/>
        <w:ind w:firstLine="420"/>
        <w:rPr>
          <w:rFonts w:ascii="宋体" w:hAnsi="宋体" w:cs="宋体"/>
          <w:b/>
          <w:color w:val="0C0C0C" w:themeColor="text1" w:themeTint="F2"/>
          <w:highlight w:val="none"/>
        </w:rPr>
      </w:pPr>
      <w:r>
        <w:rPr>
          <w:rFonts w:hint="eastAsia" w:ascii="宋体" w:hAnsi="宋体" w:cs="宋体"/>
          <w:color w:val="0C0C0C" w:themeColor="text1" w:themeTint="F2"/>
        </w:rPr>
        <w:t>3.1 投标申请人的合格条件与资格要求为：</w:t>
      </w:r>
      <w:r>
        <w:rPr>
          <w:rFonts w:hint="eastAsia" w:ascii="宋体" w:hAnsi="宋体" w:cs="宋体"/>
          <w:b/>
          <w:color w:val="0C0C0C" w:themeColor="text1" w:themeTint="F2"/>
          <w:highlight w:val="none"/>
        </w:rPr>
        <w:t>电力工程监理</w:t>
      </w:r>
      <w:r>
        <w:rPr>
          <w:rFonts w:hint="eastAsia" w:ascii="宋体" w:hAnsi="宋体" w:cs="宋体"/>
          <w:b/>
          <w:color w:val="0C0C0C" w:themeColor="text1" w:themeTint="F2"/>
          <w:highlight w:val="none"/>
          <w:lang w:val="en-US" w:eastAsia="zh-CN"/>
        </w:rPr>
        <w:t>乙</w:t>
      </w:r>
      <w:r>
        <w:rPr>
          <w:rFonts w:hint="eastAsia" w:ascii="宋体" w:hAnsi="宋体" w:cs="宋体"/>
          <w:b/>
          <w:color w:val="0C0C0C" w:themeColor="text1" w:themeTint="F2"/>
          <w:highlight w:val="none"/>
        </w:rPr>
        <w:t>级</w:t>
      </w:r>
      <w:r>
        <w:rPr>
          <w:rFonts w:hint="eastAsia" w:ascii="宋体" w:hAnsi="宋体" w:cs="宋体"/>
          <w:b/>
          <w:color w:val="0C0C0C" w:themeColor="text1" w:themeTint="F2"/>
          <w:highlight w:val="none"/>
          <w:lang w:val="en-US" w:eastAsia="zh-CN"/>
        </w:rPr>
        <w:t>及以上</w:t>
      </w:r>
      <w:r>
        <w:rPr>
          <w:rFonts w:hint="eastAsia" w:ascii="宋体" w:hAnsi="宋体" w:cs="宋体"/>
          <w:b/>
          <w:color w:val="0C0C0C" w:themeColor="text1" w:themeTint="F2"/>
          <w:highlight w:val="none"/>
        </w:rPr>
        <w:t>资质或工程监理综合资质；</w:t>
      </w:r>
    </w:p>
    <w:p w14:paraId="0775A812">
      <w:pPr>
        <w:widowControl/>
        <w:shd w:val="clear" w:color="auto" w:fill="FFFFFF"/>
        <w:spacing w:line="360" w:lineRule="exact"/>
        <w:ind w:firstLine="420"/>
        <w:rPr>
          <w:rFonts w:ascii="宋体" w:hAnsi="宋体" w:cs="宋体"/>
          <w:color w:val="0C0C0C" w:themeColor="text1" w:themeTint="F2"/>
        </w:rPr>
      </w:pPr>
      <w:r>
        <w:rPr>
          <w:rFonts w:hint="eastAsia" w:ascii="宋体" w:hAnsi="宋体" w:cs="宋体"/>
          <w:color w:val="0C0C0C" w:themeColor="text1" w:themeTint="F2"/>
        </w:rPr>
        <w:t>3.2 拟派总监理工程师资格：具备在投标申请单位注册的国家注册监理工程师（电力工程专业）；</w:t>
      </w:r>
    </w:p>
    <w:p w14:paraId="5C2418BA">
      <w:pPr>
        <w:widowControl/>
        <w:shd w:val="clear" w:color="auto" w:fill="FFFFFF"/>
        <w:spacing w:line="360" w:lineRule="exact"/>
        <w:ind w:firstLine="420"/>
        <w:rPr>
          <w:rFonts w:ascii="宋体" w:hAnsi="宋体" w:cs="宋体"/>
          <w:color w:val="0C0C0C" w:themeColor="text1" w:themeTint="F2"/>
        </w:rPr>
      </w:pPr>
      <w:r>
        <w:rPr>
          <w:rFonts w:hint="eastAsia" w:ascii="宋体" w:hAnsi="宋体" w:cs="宋体"/>
          <w:color w:val="0C0C0C" w:themeColor="text1" w:themeTint="F2"/>
        </w:rPr>
        <w:t>3.3 拟派监理部组成人员专业齐全，需满足下列要求：</w:t>
      </w:r>
    </w:p>
    <w:p w14:paraId="4D8EB62D">
      <w:pPr>
        <w:widowControl/>
        <w:shd w:val="clear" w:color="auto" w:fill="FFFFFF"/>
        <w:spacing w:line="360" w:lineRule="exact"/>
        <w:ind w:firstLine="420"/>
        <w:rPr>
          <w:rFonts w:ascii="宋体" w:hAnsi="宋体" w:cs="宋体"/>
          <w:color w:val="0C0C0C" w:themeColor="text1" w:themeTint="F2"/>
        </w:rPr>
      </w:pPr>
      <w:r>
        <w:rPr>
          <w:rFonts w:hint="eastAsia" w:ascii="宋体" w:hAnsi="宋体" w:cs="宋体"/>
          <w:color w:val="0C0C0C" w:themeColor="text1" w:themeTint="F2"/>
        </w:rPr>
        <w:t>总监1名：具备在投标申请单位注册的国家注册监理工程师（电力工程专业）；</w:t>
      </w:r>
    </w:p>
    <w:p w14:paraId="5AA06FCA">
      <w:pPr>
        <w:widowControl/>
        <w:shd w:val="clear" w:color="auto" w:fill="FFFFFF"/>
        <w:spacing w:line="360" w:lineRule="exact"/>
        <w:ind w:firstLine="420"/>
        <w:rPr>
          <w:color w:val="0C0C0C" w:themeColor="text1" w:themeTint="F2"/>
        </w:rPr>
      </w:pPr>
      <w:r>
        <w:rPr>
          <w:rFonts w:hint="eastAsia" w:ascii="宋体" w:hAnsi="宋体" w:cs="宋体"/>
          <w:color w:val="0C0C0C" w:themeColor="text1" w:themeTint="F2"/>
        </w:rPr>
        <w:t>专业监理工程师2名：1名</w:t>
      </w:r>
      <w:r>
        <w:rPr>
          <w:rFonts w:hint="eastAsia" w:ascii="宋体" w:hAnsi="宋体" w:cs="宋体"/>
          <w:color w:val="0C0C0C" w:themeColor="text1" w:themeTint="F2"/>
          <w:lang w:val="en-US" w:eastAsia="zh-CN"/>
        </w:rPr>
        <w:t>机电安装</w:t>
      </w:r>
      <w:r>
        <w:rPr>
          <w:rFonts w:hint="eastAsia" w:ascii="宋体" w:hAnsi="宋体" w:cs="宋体"/>
          <w:color w:val="0C0C0C" w:themeColor="text1" w:themeTint="F2"/>
        </w:rPr>
        <w:t>工程相关专业专监，1名电力工程相关专业专监；</w:t>
      </w:r>
      <w:r>
        <w:rPr>
          <w:b/>
          <w:bCs/>
          <w:color w:val="0C0C0C" w:themeColor="text1" w:themeTint="F2"/>
          <w:spacing w:val="3"/>
          <w:sz w:val="20"/>
          <w:szCs w:val="20"/>
          <w:u w:val="single"/>
        </w:rPr>
        <w:t>满足下列条件之一：①国家注册监理工程</w:t>
      </w:r>
      <w:r>
        <w:rPr>
          <w:b/>
          <w:bCs/>
          <w:color w:val="0C0C0C" w:themeColor="text1" w:themeTint="F2"/>
          <w:spacing w:val="2"/>
          <w:sz w:val="20"/>
          <w:szCs w:val="20"/>
          <w:u w:val="single"/>
        </w:rPr>
        <w:t>师；②省监理工程师</w:t>
      </w:r>
      <w:r>
        <w:rPr>
          <w:b/>
          <w:bCs/>
          <w:color w:val="0C0C0C" w:themeColor="text1" w:themeTint="F2"/>
          <w:spacing w:val="8"/>
          <w:sz w:val="20"/>
          <w:szCs w:val="20"/>
          <w:u w:val="single"/>
        </w:rPr>
        <w:t>或专业监理工程师（业务培训合格证或监理从业人员业务培训学时证明</w:t>
      </w:r>
      <w:r>
        <w:rPr>
          <w:b/>
          <w:bCs/>
          <w:color w:val="0C0C0C" w:themeColor="text1" w:themeTint="F2"/>
          <w:spacing w:val="22"/>
          <w:sz w:val="20"/>
          <w:szCs w:val="20"/>
          <w:u w:val="single"/>
        </w:rPr>
        <w:t>）；</w:t>
      </w:r>
      <w:r>
        <w:rPr>
          <w:b/>
          <w:bCs/>
          <w:color w:val="0C0C0C" w:themeColor="text1" w:themeTint="F2"/>
          <w:spacing w:val="8"/>
          <w:sz w:val="20"/>
          <w:szCs w:val="20"/>
          <w:u w:val="single"/>
        </w:rPr>
        <w:t>如果所提供的证书不能</w:t>
      </w:r>
      <w:r>
        <w:rPr>
          <w:b/>
          <w:bCs/>
          <w:color w:val="0C0C0C" w:themeColor="text1" w:themeTint="F2"/>
          <w:sz w:val="20"/>
          <w:szCs w:val="20"/>
          <w:u w:val="single"/>
        </w:rPr>
        <w:t>体现专业的，专业以所学专业或培训专业或职称评定专业（职称证书</w:t>
      </w:r>
      <w:r>
        <w:rPr>
          <w:b/>
          <w:bCs/>
          <w:color w:val="0C0C0C" w:themeColor="text1" w:themeTint="F2"/>
          <w:spacing w:val="-1"/>
          <w:sz w:val="20"/>
          <w:szCs w:val="20"/>
          <w:u w:val="single"/>
        </w:rPr>
        <w:t>无专业的</w:t>
      </w:r>
      <w:r>
        <w:rPr>
          <w:rFonts w:hint="eastAsia"/>
          <w:b/>
          <w:bCs/>
          <w:color w:val="0C0C0C" w:themeColor="text1" w:themeTint="F2"/>
          <w:spacing w:val="-1"/>
          <w:sz w:val="20"/>
          <w:szCs w:val="20"/>
          <w:u w:val="single"/>
        </w:rPr>
        <w:t>以</w:t>
      </w:r>
      <w:r>
        <w:rPr>
          <w:b/>
          <w:bCs/>
          <w:color w:val="0C0C0C" w:themeColor="text1" w:themeTint="F2"/>
          <w:spacing w:val="-1"/>
          <w:sz w:val="20"/>
          <w:szCs w:val="20"/>
          <w:u w:val="single"/>
        </w:rPr>
        <w:t>职称评定表中专业）为</w:t>
      </w:r>
      <w:r>
        <w:rPr>
          <w:b/>
          <w:bCs/>
          <w:color w:val="0C0C0C" w:themeColor="text1" w:themeTint="F2"/>
          <w:spacing w:val="-2"/>
          <w:sz w:val="20"/>
          <w:szCs w:val="20"/>
          <w:u w:val="single"/>
        </w:rPr>
        <w:t>准；</w:t>
      </w:r>
    </w:p>
    <w:p w14:paraId="0E4994C0">
      <w:pPr>
        <w:shd w:val="clear" w:color="auto" w:fill="FFFFFF"/>
        <w:overflowPunct w:val="0"/>
        <w:adjustRightInd w:val="0"/>
        <w:snapToGrid w:val="0"/>
        <w:spacing w:line="360" w:lineRule="exact"/>
        <w:ind w:firstLine="420" w:firstLineChars="200"/>
        <w:rPr>
          <w:rFonts w:ascii="宋体" w:hAnsi="宋体" w:cs="宋体"/>
          <w:b/>
          <w:bCs/>
          <w:snapToGrid w:val="0"/>
          <w:color w:val="0C0C0C" w:themeColor="text1" w:themeTint="F2"/>
          <w:spacing w:val="9"/>
          <w:kern w:val="0"/>
          <w:sz w:val="20"/>
          <w:szCs w:val="20"/>
          <w:u w:val="single"/>
        </w:rPr>
      </w:pPr>
      <w:r>
        <w:rPr>
          <w:rFonts w:hint="eastAsia" w:ascii="宋体" w:hAnsi="宋体" w:cs="宋体"/>
          <w:color w:val="0C0C0C" w:themeColor="text1" w:themeTint="F2"/>
        </w:rPr>
        <w:t>监理员2名：</w:t>
      </w:r>
      <w:r>
        <w:rPr>
          <w:rFonts w:hint="eastAsia" w:ascii="宋体" w:hAnsi="宋体" w:cs="宋体"/>
          <w:b/>
          <w:bCs/>
          <w:snapToGrid w:val="0"/>
          <w:color w:val="0C0C0C" w:themeColor="text1" w:themeTint="F2"/>
          <w:spacing w:val="9"/>
          <w:kern w:val="0"/>
          <w:sz w:val="20"/>
          <w:szCs w:val="20"/>
          <w:u w:val="single"/>
        </w:rPr>
        <w:t>满足下列条件之一：①国家注册监理工程师；②省监理工程师或专业监理工程师（业务培训合格证或监理从业人员业务培训学时证明）；③监理员证（业务培训合格证或监理从业人员业务培训学时证明）。</w:t>
      </w:r>
    </w:p>
    <w:p w14:paraId="58E22361">
      <w:pPr>
        <w:shd w:val="clear" w:color="auto" w:fill="FFFFFF"/>
        <w:overflowPunct w:val="0"/>
        <w:adjustRightInd w:val="0"/>
        <w:snapToGrid w:val="0"/>
        <w:spacing w:line="360" w:lineRule="exact"/>
        <w:ind w:firstLine="458" w:firstLineChars="200"/>
        <w:rPr>
          <w:rFonts w:hint="eastAsia" w:ascii="宋体" w:hAnsi="宋体" w:cs="宋体"/>
          <w:color w:val="0C0C0C" w:themeColor="text1" w:themeTint="F2"/>
        </w:rPr>
      </w:pPr>
      <w:r>
        <w:rPr>
          <w:b/>
          <w:bCs/>
          <w:color w:val="0C0C0C" w:themeColor="text1" w:themeTint="F2"/>
          <w:spacing w:val="14"/>
          <w:sz w:val="20"/>
          <w:szCs w:val="20"/>
        </w:rPr>
        <w:t>备注</w:t>
      </w:r>
      <w:r>
        <w:rPr>
          <w:b/>
          <w:bCs/>
          <w:color w:val="0C0C0C" w:themeColor="text1" w:themeTint="F2"/>
          <w:spacing w:val="-7"/>
          <w:sz w:val="20"/>
          <w:szCs w:val="20"/>
        </w:rPr>
        <w:t>：</w:t>
      </w:r>
      <w:r>
        <w:rPr>
          <w:rFonts w:hint="eastAsia" w:ascii="宋体" w:hAnsi="宋体" w:cs="宋体"/>
          <w:color w:val="0C0C0C" w:themeColor="text1" w:themeTint="F2"/>
        </w:rPr>
        <w:t>①所列人员配备为最低限度要求，中标单位须根据工程实际需要及时投入人员，按国家《建设工程监理规范》要求进行监理；②</w:t>
      </w:r>
      <w:r>
        <w:rPr>
          <w:rFonts w:hint="eastAsia" w:ascii="宋体" w:hAnsi="宋体" w:cs="宋体"/>
          <w:b/>
          <w:bCs/>
          <w:color w:val="0C0C0C" w:themeColor="text1" w:themeTint="F2"/>
        </w:rPr>
        <w:t>所有监理人员均须在投标单位注册</w:t>
      </w:r>
      <w:r>
        <w:rPr>
          <w:rFonts w:hint="eastAsia" w:ascii="宋体" w:hAnsi="宋体" w:cs="宋体"/>
          <w:color w:val="0C0C0C" w:themeColor="text1" w:themeTint="F2"/>
        </w:rPr>
        <w:t>，身体健康，持证上岗，年龄符合国家规定；</w:t>
      </w:r>
    </w:p>
    <w:p w14:paraId="0D1DB3B2">
      <w:pPr>
        <w:widowControl/>
        <w:adjustRightInd w:val="0"/>
        <w:snapToGrid w:val="0"/>
        <w:spacing w:line="400" w:lineRule="exact"/>
        <w:ind w:firstLine="420" w:firstLineChars="200"/>
        <w:jc w:val="left"/>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4</w:t>
      </w:r>
      <w:r>
        <w:rPr>
          <w:rFonts w:hint="eastAsia" w:ascii="宋体" w:hAnsi="宋体" w:cs="宋体"/>
          <w:szCs w:val="21"/>
        </w:rPr>
        <w:t>拟选派的投标项目总监理工程师在其他在建工程上任职的要求：</w:t>
      </w:r>
    </w:p>
    <w:p w14:paraId="212D823E">
      <w:pPr>
        <w:widowControl/>
        <w:adjustRightInd w:val="0"/>
        <w:snapToGrid w:val="0"/>
        <w:spacing w:line="400" w:lineRule="exact"/>
        <w:ind w:firstLine="420" w:firstLineChars="200"/>
        <w:jc w:val="left"/>
        <w:rPr>
          <w:rFonts w:hint="eastAsia" w:ascii="宋体" w:hAnsi="宋体" w:cs="宋体"/>
          <w:szCs w:val="21"/>
          <w:u w:val="single"/>
        </w:rPr>
      </w:pPr>
      <w:r>
        <w:rPr>
          <w:rFonts w:hint="eastAsia" w:ascii="宋体" w:hAnsi="宋体" w:cs="宋体"/>
          <w:szCs w:val="21"/>
          <w:u w:val="single"/>
        </w:rPr>
        <w:t>①拟派总监理工程师须无在监工程，提供无在监工程承诺(按照招标文件提供格式填写)。</w:t>
      </w:r>
    </w:p>
    <w:p w14:paraId="69DE7AEE">
      <w:pPr>
        <w:widowControl/>
        <w:adjustRightInd w:val="0"/>
        <w:snapToGrid w:val="0"/>
        <w:spacing w:line="400" w:lineRule="exact"/>
        <w:ind w:firstLine="420" w:firstLineChars="200"/>
        <w:jc w:val="left"/>
        <w:rPr>
          <w:rFonts w:hint="eastAsia" w:ascii="宋体" w:hAnsi="宋体" w:cs="宋体"/>
          <w:kern w:val="0"/>
          <w:szCs w:val="21"/>
          <w:lang w:bidi="ar"/>
        </w:rPr>
      </w:pPr>
      <w:r>
        <w:rPr>
          <w:rFonts w:hint="eastAsia" w:ascii="宋体" w:hAnsi="宋体" w:cs="宋体"/>
          <w:szCs w:val="21"/>
          <w:u w:val="single"/>
        </w:rPr>
        <w:t xml:space="preserve">②拟派总监理工程师有在监工程的（仅限南通市），按“江苏省住房和城乡建设厅《关于进一步加强全省监理人员从业管理的通知》（苏建建管【2014】100号）及其有关条款的补充通知”执行，且必须提供由原建设单位出具的“同意总监理工程师参加其他工程招投标活动”证明。 </w:t>
      </w:r>
    </w:p>
    <w:p w14:paraId="3B1AB1C4">
      <w:pPr>
        <w:widowControl/>
        <w:shd w:val="clear" w:color="auto" w:fill="FFFFFF"/>
        <w:spacing w:line="360" w:lineRule="exact"/>
        <w:ind w:firstLine="420"/>
        <w:rPr>
          <w:rFonts w:ascii="宋体" w:hAnsi="宋体" w:cs="宋体"/>
          <w:color w:val="000000" w:themeColor="text1"/>
        </w:rPr>
      </w:pPr>
      <w:r>
        <w:rPr>
          <w:rFonts w:hint="eastAsia" w:ascii="宋体" w:hAnsi="宋体" w:cs="宋体"/>
          <w:color w:val="000000" w:themeColor="text1"/>
        </w:rPr>
        <w:t>3.</w:t>
      </w:r>
      <w:r>
        <w:rPr>
          <w:rFonts w:hint="eastAsia" w:ascii="宋体" w:hAnsi="宋体" w:cs="宋体"/>
          <w:color w:val="000000" w:themeColor="text1"/>
          <w:lang w:val="en-US" w:eastAsia="zh-CN"/>
        </w:rPr>
        <w:t>5</w:t>
      </w:r>
      <w:r>
        <w:rPr>
          <w:rFonts w:hint="eastAsia" w:ascii="宋体" w:hAnsi="宋体" w:cs="宋体"/>
          <w:color w:val="000000" w:themeColor="text1"/>
        </w:rPr>
        <w:t>本次招标</w:t>
      </w:r>
      <w:r>
        <w:rPr>
          <w:rFonts w:hint="eastAsia" w:ascii="宋体" w:hAnsi="宋体" w:cs="宋体"/>
          <w:color w:val="000000" w:themeColor="text1"/>
          <w:u w:val="single"/>
        </w:rPr>
        <w:t xml:space="preserve">不接受 </w:t>
      </w:r>
      <w:r>
        <w:rPr>
          <w:rFonts w:hint="eastAsia" w:ascii="宋体" w:hAnsi="宋体" w:cs="宋体"/>
          <w:color w:val="000000" w:themeColor="text1"/>
        </w:rPr>
        <w:t>联合体投标；</w:t>
      </w:r>
    </w:p>
    <w:p w14:paraId="63B73451">
      <w:pPr>
        <w:widowControl/>
        <w:shd w:val="clear" w:color="auto" w:fill="FFFFFF"/>
        <w:spacing w:line="360" w:lineRule="exact"/>
        <w:ind w:firstLine="420"/>
        <w:rPr>
          <w:rFonts w:ascii="宋体" w:hAnsi="宋体" w:cs="宋体"/>
          <w:color w:val="000000" w:themeColor="text1"/>
        </w:rPr>
      </w:pPr>
      <w:r>
        <w:rPr>
          <w:rFonts w:hint="eastAsia" w:ascii="宋体" w:hAnsi="宋体" w:cs="宋体"/>
          <w:color w:val="000000" w:themeColor="text1"/>
        </w:rPr>
        <w:t>3.</w:t>
      </w:r>
      <w:r>
        <w:rPr>
          <w:rFonts w:hint="eastAsia" w:ascii="宋体" w:hAnsi="宋体" w:cs="宋体"/>
          <w:color w:val="000000" w:themeColor="text1"/>
          <w:lang w:val="en-US" w:eastAsia="zh-CN"/>
        </w:rPr>
        <w:t>6</w:t>
      </w:r>
      <w:r>
        <w:rPr>
          <w:rFonts w:hint="eastAsia" w:ascii="宋体" w:hAnsi="宋体" w:cs="宋体"/>
          <w:color w:val="000000" w:themeColor="text1"/>
        </w:rPr>
        <w:t>其他要求：具体详见第三章评标办法中“资格审查标准”；</w:t>
      </w:r>
    </w:p>
    <w:p w14:paraId="0972D642">
      <w:pPr>
        <w:widowControl/>
        <w:shd w:val="clear" w:color="auto" w:fill="FFFFFF"/>
        <w:spacing w:line="360" w:lineRule="exact"/>
        <w:ind w:firstLine="420"/>
        <w:rPr>
          <w:rFonts w:ascii="宋体" w:hAnsi="宋体" w:cs="宋体"/>
          <w:color w:val="000000" w:themeColor="text1"/>
        </w:rPr>
      </w:pPr>
      <w:r>
        <w:rPr>
          <w:rFonts w:hint="eastAsia" w:ascii="宋体" w:hAnsi="宋体" w:cs="宋体"/>
          <w:color w:val="000000" w:themeColor="text1"/>
        </w:rPr>
        <w:t>3.</w:t>
      </w:r>
      <w:r>
        <w:rPr>
          <w:rFonts w:hint="eastAsia" w:ascii="宋体" w:hAnsi="宋体" w:cs="宋体"/>
          <w:color w:val="000000" w:themeColor="text1"/>
          <w:lang w:val="en-US" w:eastAsia="zh-CN"/>
        </w:rPr>
        <w:t>7</w:t>
      </w:r>
      <w:r>
        <w:rPr>
          <w:rFonts w:hint="eastAsia" w:ascii="宋体" w:hAnsi="宋体" w:cs="宋体"/>
          <w:color w:val="000000" w:themeColor="text1"/>
        </w:rPr>
        <w:t>符合法律法规规定的其他要求。</w:t>
      </w:r>
    </w:p>
    <w:bookmarkEnd w:id="12"/>
    <w:p w14:paraId="278A29C7">
      <w:pPr>
        <w:adjustRightInd w:val="0"/>
        <w:snapToGrid w:val="0"/>
        <w:spacing w:line="400" w:lineRule="exact"/>
        <w:rPr>
          <w:rFonts w:ascii="宋体" w:hAnsi="宋体" w:cs="宋体"/>
          <w:b/>
          <w:bCs/>
          <w:color w:val="000000" w:themeColor="text1"/>
          <w:szCs w:val="32"/>
        </w:rPr>
      </w:pPr>
      <w:bookmarkStart w:id="13" w:name="_Toc398107834"/>
      <w:r>
        <w:rPr>
          <w:rFonts w:hint="eastAsia" w:ascii="宋体" w:hAnsi="宋体" w:cs="宋体"/>
          <w:b/>
          <w:color w:val="000000" w:themeColor="text1"/>
          <w:szCs w:val="21"/>
        </w:rPr>
        <w:t xml:space="preserve">4. </w:t>
      </w:r>
      <w:r>
        <w:rPr>
          <w:rFonts w:hint="eastAsia" w:ascii="宋体" w:hAnsi="宋体" w:cs="宋体"/>
          <w:b/>
          <w:bCs/>
          <w:color w:val="000000" w:themeColor="text1"/>
          <w:szCs w:val="32"/>
        </w:rPr>
        <w:t>评标方法</w:t>
      </w:r>
    </w:p>
    <w:p w14:paraId="37ECF19F">
      <w:pPr>
        <w:adjustRightInd w:val="0"/>
        <w:snapToGrid w:val="0"/>
        <w:spacing w:line="400" w:lineRule="exact"/>
        <w:ind w:firstLine="310" w:firstLineChars="147"/>
        <w:rPr>
          <w:rFonts w:ascii="宋体" w:hAnsi="宋体" w:cs="宋体"/>
          <w:b/>
          <w:color w:val="000000" w:themeColor="text1"/>
          <w:szCs w:val="21"/>
        </w:rPr>
      </w:pPr>
      <w:r>
        <w:rPr>
          <w:rFonts w:hint="eastAsia" w:ascii="宋体" w:hAnsi="宋体" w:cs="宋体"/>
          <w:b/>
          <w:color w:val="000000" w:themeColor="text1"/>
          <w:szCs w:val="21"/>
        </w:rPr>
        <w:t>本次招标采用</w:t>
      </w:r>
      <w:r>
        <w:rPr>
          <w:rFonts w:hint="eastAsia" w:ascii="宋体" w:hAnsi="宋体" w:cs="宋体"/>
          <w:b/>
          <w:color w:val="0C0C0C" w:themeColor="text1" w:themeTint="F2"/>
          <w:szCs w:val="21"/>
          <w:u w:val="single"/>
        </w:rPr>
        <w:t>综合评估法</w:t>
      </w:r>
      <w:r>
        <w:rPr>
          <w:rFonts w:hint="eastAsia" w:ascii="宋体" w:hAnsi="宋体" w:cs="宋体"/>
          <w:b/>
          <w:color w:val="000000" w:themeColor="text1"/>
          <w:szCs w:val="21"/>
        </w:rPr>
        <w:t>，评标标准和方法详见招标文件第三章评标办法。</w:t>
      </w:r>
    </w:p>
    <w:p w14:paraId="2ED653CC">
      <w:pPr>
        <w:pStyle w:val="3"/>
        <w:adjustRightInd w:val="0"/>
        <w:snapToGrid w:val="0"/>
        <w:spacing w:line="400" w:lineRule="exact"/>
        <w:rPr>
          <w:rFonts w:ascii="宋体" w:hAnsi="宋体" w:eastAsia="宋体" w:cs="宋体"/>
          <w:b/>
          <w:bCs w:val="0"/>
          <w:color w:val="000000" w:themeColor="text1"/>
          <w:sz w:val="21"/>
          <w:szCs w:val="21"/>
        </w:rPr>
      </w:pPr>
      <w:r>
        <w:rPr>
          <w:rFonts w:hint="eastAsia" w:ascii="宋体" w:hAnsi="宋体" w:eastAsia="宋体" w:cs="宋体"/>
          <w:b/>
          <w:bCs w:val="0"/>
          <w:color w:val="000000" w:themeColor="text1"/>
          <w:sz w:val="21"/>
          <w:szCs w:val="21"/>
        </w:rPr>
        <w:t>5.招标文件的获取</w:t>
      </w:r>
    </w:p>
    <w:p w14:paraId="384CDB27">
      <w:pPr>
        <w:adjustRightInd w:val="0"/>
        <w:snapToGrid w:val="0"/>
        <w:spacing w:line="400" w:lineRule="exact"/>
        <w:ind w:firstLine="420" w:firstLineChars="200"/>
        <w:rPr>
          <w:rFonts w:ascii="宋体" w:hAnsi="宋体" w:cs="宋体"/>
          <w:color w:val="0C0C0C" w:themeColor="text1" w:themeTint="F2"/>
          <w:kern w:val="0"/>
          <w:szCs w:val="21"/>
          <w:highlight w:val="none"/>
        </w:rPr>
      </w:pPr>
      <w:r>
        <w:rPr>
          <w:rFonts w:hint="eastAsia" w:ascii="宋体" w:hAnsi="宋体" w:cs="宋体"/>
          <w:color w:val="000000" w:themeColor="text1"/>
          <w:kern w:val="0"/>
          <w:szCs w:val="21"/>
        </w:rPr>
        <w:t>5.1招标文件获取时间为：</w:t>
      </w:r>
      <w:r>
        <w:rPr>
          <w:rFonts w:hint="eastAsia" w:ascii="宋体" w:hAnsi="宋体" w:cs="宋体"/>
          <w:b/>
          <w:bCs/>
          <w:color w:val="000000" w:themeColor="text1"/>
          <w:kern w:val="0"/>
          <w:szCs w:val="21"/>
        </w:rPr>
        <w:t xml:space="preserve"> </w:t>
      </w:r>
      <w:r>
        <w:rPr>
          <w:rFonts w:hint="eastAsia" w:ascii="宋体" w:hAnsi="宋体" w:cs="宋体"/>
          <w:b/>
          <w:bCs/>
          <w:color w:val="0C0C0C" w:themeColor="text1" w:themeTint="F2"/>
          <w:kern w:val="0"/>
          <w:szCs w:val="21"/>
          <w:highlight w:val="none"/>
          <w:u w:val="single"/>
        </w:rPr>
        <w:t>2026</w:t>
      </w:r>
      <w:r>
        <w:rPr>
          <w:rFonts w:hint="eastAsia" w:ascii="宋体" w:hAnsi="宋体" w:cs="宋体"/>
          <w:b/>
          <w:bCs/>
          <w:color w:val="0C0C0C" w:themeColor="text1" w:themeTint="F2"/>
          <w:kern w:val="0"/>
          <w:szCs w:val="21"/>
          <w:highlight w:val="none"/>
        </w:rPr>
        <w:t>年</w:t>
      </w:r>
      <w:r>
        <w:rPr>
          <w:rFonts w:hint="eastAsia" w:ascii="宋体" w:hAnsi="宋体" w:cs="宋体"/>
          <w:b/>
          <w:bCs/>
          <w:color w:val="0C0C0C" w:themeColor="text1" w:themeTint="F2"/>
          <w:kern w:val="0"/>
          <w:szCs w:val="21"/>
          <w:highlight w:val="none"/>
          <w:lang w:val="en-US" w:eastAsia="zh-CN"/>
        </w:rPr>
        <w:t>8</w:t>
      </w:r>
      <w:r>
        <w:rPr>
          <w:rFonts w:hint="eastAsia" w:ascii="宋体" w:hAnsi="宋体" w:cs="宋体"/>
          <w:b/>
          <w:bCs/>
          <w:color w:val="0C0C0C" w:themeColor="text1" w:themeTint="F2"/>
          <w:kern w:val="0"/>
          <w:szCs w:val="21"/>
          <w:highlight w:val="none"/>
        </w:rPr>
        <w:t>月</w:t>
      </w:r>
      <w:r>
        <w:rPr>
          <w:rFonts w:hint="eastAsia" w:ascii="宋体" w:hAnsi="宋体" w:cs="宋体"/>
          <w:b/>
          <w:bCs/>
          <w:color w:val="0C0C0C" w:themeColor="text1" w:themeTint="F2"/>
          <w:kern w:val="0"/>
          <w:szCs w:val="21"/>
          <w:highlight w:val="none"/>
          <w:lang w:val="en-US" w:eastAsia="zh-CN"/>
        </w:rPr>
        <w:t>24</w:t>
      </w:r>
      <w:r>
        <w:rPr>
          <w:rFonts w:hint="eastAsia" w:ascii="宋体" w:hAnsi="宋体" w:cs="宋体"/>
          <w:b/>
          <w:bCs/>
          <w:color w:val="0C0C0C" w:themeColor="text1" w:themeTint="F2"/>
          <w:kern w:val="0"/>
          <w:szCs w:val="21"/>
          <w:highlight w:val="none"/>
        </w:rPr>
        <w:t>日至</w:t>
      </w:r>
      <w:r>
        <w:rPr>
          <w:rFonts w:hint="eastAsia" w:ascii="宋体" w:hAnsi="宋体" w:cs="宋体"/>
          <w:b/>
          <w:bCs/>
          <w:color w:val="0C0C0C" w:themeColor="text1" w:themeTint="F2"/>
          <w:kern w:val="0"/>
          <w:szCs w:val="21"/>
          <w:highlight w:val="none"/>
          <w:u w:val="single"/>
        </w:rPr>
        <w:t>2026</w:t>
      </w:r>
      <w:r>
        <w:rPr>
          <w:rFonts w:hint="eastAsia" w:ascii="宋体" w:hAnsi="宋体" w:cs="宋体"/>
          <w:b/>
          <w:bCs/>
          <w:color w:val="0C0C0C" w:themeColor="text1" w:themeTint="F2"/>
          <w:kern w:val="0"/>
          <w:szCs w:val="21"/>
          <w:highlight w:val="none"/>
        </w:rPr>
        <w:t>年</w:t>
      </w:r>
      <w:r>
        <w:rPr>
          <w:rFonts w:hint="eastAsia" w:ascii="宋体" w:hAnsi="宋体" w:cs="宋体"/>
          <w:b/>
          <w:bCs/>
          <w:color w:val="0C0C0C" w:themeColor="text1" w:themeTint="F2"/>
          <w:kern w:val="0"/>
          <w:szCs w:val="21"/>
          <w:highlight w:val="none"/>
          <w:lang w:val="en-US" w:eastAsia="zh-CN"/>
        </w:rPr>
        <w:t>9</w:t>
      </w:r>
      <w:r>
        <w:rPr>
          <w:rFonts w:hint="eastAsia" w:ascii="宋体" w:hAnsi="宋体" w:cs="宋体"/>
          <w:b/>
          <w:bCs/>
          <w:color w:val="0C0C0C" w:themeColor="text1" w:themeTint="F2"/>
          <w:kern w:val="0"/>
          <w:szCs w:val="21"/>
          <w:highlight w:val="none"/>
        </w:rPr>
        <w:t>月</w:t>
      </w:r>
      <w:r>
        <w:rPr>
          <w:rFonts w:hint="eastAsia" w:ascii="宋体" w:hAnsi="宋体" w:cs="宋体"/>
          <w:b/>
          <w:bCs/>
          <w:color w:val="0C0C0C" w:themeColor="text1" w:themeTint="F2"/>
          <w:kern w:val="0"/>
          <w:szCs w:val="21"/>
          <w:highlight w:val="none"/>
          <w:lang w:val="en-US" w:eastAsia="zh-CN"/>
        </w:rPr>
        <w:t>16</w:t>
      </w:r>
      <w:r>
        <w:rPr>
          <w:rFonts w:hint="eastAsia" w:ascii="宋体" w:hAnsi="宋体" w:cs="宋体"/>
          <w:b/>
          <w:bCs/>
          <w:color w:val="0C0C0C" w:themeColor="text1" w:themeTint="F2"/>
          <w:kern w:val="0"/>
          <w:szCs w:val="21"/>
          <w:highlight w:val="none"/>
        </w:rPr>
        <w:t>日</w:t>
      </w:r>
      <w:r>
        <w:rPr>
          <w:rFonts w:hint="eastAsia" w:ascii="宋体" w:hAnsi="宋体" w:cs="宋体"/>
          <w:b/>
          <w:bCs/>
          <w:color w:val="0C0C0C" w:themeColor="text1" w:themeTint="F2"/>
          <w:kern w:val="0"/>
          <w:szCs w:val="21"/>
          <w:highlight w:val="none"/>
          <w:u w:val="single"/>
        </w:rPr>
        <w:t>14</w:t>
      </w:r>
      <w:r>
        <w:rPr>
          <w:rFonts w:hint="eastAsia" w:ascii="宋体" w:hAnsi="宋体" w:cs="宋体"/>
          <w:b/>
          <w:bCs/>
          <w:color w:val="0C0C0C" w:themeColor="text1" w:themeTint="F2"/>
          <w:kern w:val="0"/>
          <w:szCs w:val="21"/>
          <w:highlight w:val="none"/>
        </w:rPr>
        <w:t>时</w:t>
      </w:r>
      <w:r>
        <w:rPr>
          <w:rFonts w:hint="eastAsia" w:ascii="宋体" w:hAnsi="宋体" w:cs="宋体"/>
          <w:b/>
          <w:bCs/>
          <w:color w:val="0C0C0C" w:themeColor="text1" w:themeTint="F2"/>
          <w:kern w:val="0"/>
          <w:szCs w:val="21"/>
          <w:highlight w:val="none"/>
          <w:u w:val="single"/>
        </w:rPr>
        <w:t>00</w:t>
      </w:r>
      <w:r>
        <w:rPr>
          <w:rFonts w:hint="eastAsia" w:ascii="宋体" w:hAnsi="宋体" w:cs="宋体"/>
          <w:b/>
          <w:bCs/>
          <w:color w:val="0C0C0C" w:themeColor="text1" w:themeTint="F2"/>
          <w:kern w:val="0"/>
          <w:szCs w:val="21"/>
          <w:highlight w:val="none"/>
        </w:rPr>
        <w:t>分</w:t>
      </w:r>
      <w:r>
        <w:rPr>
          <w:rFonts w:hint="eastAsia" w:ascii="宋体" w:hAnsi="宋体" w:cs="宋体"/>
          <w:color w:val="0C0C0C" w:themeColor="text1" w:themeTint="F2"/>
          <w:kern w:val="0"/>
          <w:szCs w:val="21"/>
          <w:highlight w:val="none"/>
        </w:rPr>
        <w:t>；</w:t>
      </w:r>
    </w:p>
    <w:p w14:paraId="0BF5593D">
      <w:pPr>
        <w:adjustRightInd w:val="0"/>
        <w:snapToGrid w:val="0"/>
        <w:spacing w:line="400" w:lineRule="exact"/>
        <w:ind w:firstLine="420" w:firstLineChars="200"/>
        <w:rPr>
          <w:rFonts w:ascii="宋体" w:hAnsi="宋体" w:cs="宋体"/>
          <w:color w:val="000000" w:themeColor="text1"/>
          <w:kern w:val="0"/>
          <w:szCs w:val="21"/>
        </w:rPr>
      </w:pPr>
      <w:r>
        <w:rPr>
          <w:rFonts w:hint="eastAsia" w:ascii="宋体" w:hAnsi="宋体" w:cs="宋体"/>
          <w:color w:val="000000" w:themeColor="text1"/>
          <w:kern w:val="0"/>
          <w:szCs w:val="21"/>
        </w:rPr>
        <w:t>5.2招标文件获取方式：投标人登录“https://www.ntyhjt.com/lists/12.html”</w:t>
      </w:r>
      <w:r>
        <w:rPr>
          <w:rFonts w:ascii="Arial" w:hAnsi="Arial" w:cs="Arial"/>
          <w:color w:val="000000" w:themeColor="text1"/>
          <w:kern w:val="0"/>
          <w:szCs w:val="21"/>
        </w:rPr>
        <w:t>→</w:t>
      </w:r>
      <w:r>
        <w:rPr>
          <w:rFonts w:hint="eastAsia" w:ascii="宋体" w:hAnsi="宋体" w:cs="宋体"/>
          <w:color w:val="000000" w:themeColor="text1"/>
          <w:kern w:val="0"/>
          <w:szCs w:val="21"/>
        </w:rPr>
        <w:t>“公告公示”</w:t>
      </w:r>
      <w:r>
        <w:rPr>
          <w:rFonts w:ascii="Arial" w:hAnsi="Arial" w:cs="Arial"/>
          <w:color w:val="000000" w:themeColor="text1"/>
          <w:kern w:val="0"/>
          <w:szCs w:val="21"/>
        </w:rPr>
        <w:t>→</w:t>
      </w:r>
      <w:r>
        <w:rPr>
          <w:rFonts w:hint="eastAsia" w:ascii="宋体" w:hAnsi="宋体" w:cs="宋体"/>
          <w:color w:val="000000" w:themeColor="text1"/>
          <w:kern w:val="0"/>
          <w:szCs w:val="21"/>
        </w:rPr>
        <w:t>“招标投标”获取；</w:t>
      </w:r>
    </w:p>
    <w:p w14:paraId="10CE31A5">
      <w:pPr>
        <w:adjustRightInd w:val="0"/>
        <w:snapToGrid w:val="0"/>
        <w:spacing w:line="400" w:lineRule="exact"/>
        <w:ind w:firstLine="420" w:firstLineChars="200"/>
        <w:rPr>
          <w:rFonts w:ascii="宋体" w:hAnsi="宋体" w:cs="宋体"/>
          <w:color w:val="000000" w:themeColor="text1"/>
          <w:kern w:val="0"/>
          <w:szCs w:val="21"/>
        </w:rPr>
      </w:pPr>
      <w:r>
        <w:rPr>
          <w:rFonts w:hint="eastAsia" w:ascii="宋体" w:hAnsi="宋体" w:cs="宋体"/>
          <w:color w:val="000000" w:themeColor="text1"/>
          <w:kern w:val="0"/>
          <w:szCs w:val="21"/>
        </w:rPr>
        <w:t>本招标公告及招标文件中“电子招标投标交易平台”是指：</w:t>
      </w:r>
      <w:r>
        <w:rPr>
          <w:rFonts w:hint="eastAsia" w:ascii="宋体" w:hAnsi="宋体" w:cs="宋体"/>
          <w:color w:val="000000" w:themeColor="text1"/>
          <w:kern w:val="0"/>
          <w:szCs w:val="21"/>
          <w:u w:val="single"/>
        </w:rPr>
        <w:t>圆宏集团招标投标网</w:t>
      </w:r>
      <w:r>
        <w:rPr>
          <w:rFonts w:hint="eastAsia" w:ascii="宋体" w:hAnsi="宋体" w:cs="宋体"/>
          <w:color w:val="000000" w:themeColor="text1"/>
          <w:kern w:val="0"/>
          <w:szCs w:val="21"/>
        </w:rPr>
        <w:t>；</w:t>
      </w:r>
    </w:p>
    <w:p w14:paraId="2DDE6382">
      <w:pPr>
        <w:widowControl/>
        <w:topLinePunct/>
        <w:autoSpaceDE w:val="0"/>
        <w:adjustRightInd w:val="0"/>
        <w:snapToGrid w:val="0"/>
        <w:spacing w:line="400" w:lineRule="exact"/>
        <w:ind w:firstLine="420" w:firstLineChars="200"/>
        <w:jc w:val="left"/>
        <w:textAlignment w:val="baseline"/>
        <w:rPr>
          <w:rFonts w:ascii="宋体" w:hAnsi="宋体" w:cs="宋体"/>
          <w:b/>
          <w:color w:val="000000" w:themeColor="text1"/>
          <w:szCs w:val="21"/>
        </w:rPr>
      </w:pPr>
      <w:r>
        <w:rPr>
          <w:rFonts w:hint="eastAsia" w:ascii="宋体" w:hAnsi="宋体" w:cs="宋体"/>
          <w:bCs/>
          <w:color w:val="000000" w:themeColor="text1"/>
          <w:szCs w:val="21"/>
        </w:rPr>
        <w:t>5.3</w:t>
      </w:r>
      <w:r>
        <w:rPr>
          <w:rFonts w:hint="eastAsia" w:ascii="宋体" w:hAnsi="宋体" w:cs="宋体"/>
          <w:color w:val="000000" w:themeColor="text1"/>
          <w:kern w:val="0"/>
          <w:szCs w:val="21"/>
        </w:rPr>
        <w:t>投标保证金数额：</w:t>
      </w:r>
      <w:r>
        <w:rPr>
          <w:rFonts w:hint="eastAsia" w:ascii="宋体" w:hAnsi="宋体" w:cs="宋体"/>
          <w:color w:val="000000" w:themeColor="text1"/>
          <w:szCs w:val="21"/>
        </w:rPr>
        <w:t>人民币</w:t>
      </w:r>
      <w:r>
        <w:rPr>
          <w:rFonts w:hint="eastAsia" w:ascii="宋体" w:hAnsi="宋体" w:cs="宋体"/>
          <w:b/>
          <w:bCs/>
          <w:color w:val="000000" w:themeColor="text1"/>
          <w:szCs w:val="21"/>
          <w:u w:val="single"/>
        </w:rPr>
        <w:t>2</w:t>
      </w:r>
      <w:r>
        <w:rPr>
          <w:rFonts w:hint="eastAsia" w:ascii="宋体" w:hAnsi="宋体" w:cs="宋体"/>
          <w:b/>
          <w:color w:val="000000" w:themeColor="text1"/>
          <w:szCs w:val="21"/>
          <w:u w:val="single"/>
        </w:rPr>
        <w:t>000元/投标单位</w:t>
      </w:r>
      <w:r>
        <w:rPr>
          <w:rFonts w:hint="eastAsia" w:ascii="宋体" w:hAnsi="宋体" w:cs="宋体"/>
          <w:spacing w:val="10"/>
          <w:szCs w:val="21"/>
        </w:rPr>
        <w:t>（本项目免收投标保证金，免</w:t>
      </w:r>
      <w:r>
        <w:rPr>
          <w:rFonts w:hint="eastAsia" w:ascii="宋体" w:hAnsi="宋体" w:cs="宋体"/>
          <w:spacing w:val="9"/>
          <w:szCs w:val="21"/>
        </w:rPr>
        <w:t>缴投标</w:t>
      </w:r>
      <w:r>
        <w:rPr>
          <w:rFonts w:hint="eastAsia" w:ascii="宋体" w:hAnsi="宋体" w:cs="宋体"/>
          <w:spacing w:val="7"/>
          <w:szCs w:val="21"/>
        </w:rPr>
        <w:t>保证金但不免除相应责任，投标人应提交《投标人免缴投标保证金信用承诺书》,作出</w:t>
      </w:r>
      <w:r>
        <w:rPr>
          <w:rFonts w:hint="eastAsia" w:ascii="宋体" w:hAnsi="宋体" w:cs="宋体"/>
          <w:spacing w:val="6"/>
          <w:szCs w:val="21"/>
        </w:rPr>
        <w:t>承诺</w:t>
      </w:r>
      <w:r>
        <w:rPr>
          <w:rFonts w:hint="eastAsia" w:ascii="宋体" w:hAnsi="宋体" w:cs="宋体"/>
          <w:spacing w:val="9"/>
          <w:szCs w:val="21"/>
        </w:rPr>
        <w:t>不免除投标人违法、违规、违约责任，并遵守招投标相关法律、法规）。</w:t>
      </w:r>
    </w:p>
    <w:p w14:paraId="215D35FB">
      <w:pPr>
        <w:pStyle w:val="3"/>
        <w:adjustRightInd w:val="0"/>
        <w:snapToGrid w:val="0"/>
        <w:spacing w:line="400" w:lineRule="exact"/>
        <w:rPr>
          <w:rFonts w:ascii="宋体" w:hAnsi="宋体" w:eastAsia="宋体" w:cs="宋体"/>
          <w:b/>
          <w:bCs w:val="0"/>
          <w:color w:val="000000" w:themeColor="text1"/>
          <w:sz w:val="21"/>
          <w:szCs w:val="21"/>
        </w:rPr>
      </w:pPr>
      <w:r>
        <w:rPr>
          <w:rFonts w:hint="eastAsia" w:ascii="宋体" w:hAnsi="宋体" w:eastAsia="宋体" w:cs="宋体"/>
          <w:b/>
          <w:bCs w:val="0"/>
          <w:color w:val="000000" w:themeColor="text1"/>
          <w:sz w:val="21"/>
          <w:szCs w:val="21"/>
        </w:rPr>
        <w:t>6.投标文件的递交</w:t>
      </w:r>
    </w:p>
    <w:p w14:paraId="37DD7CD0">
      <w:pPr>
        <w:spacing w:line="400" w:lineRule="exact"/>
        <w:ind w:firstLine="435"/>
        <w:rPr>
          <w:rFonts w:ascii="宋体" w:hAnsi="宋体" w:cs="宋体"/>
          <w:color w:val="000000" w:themeColor="text1"/>
          <w:szCs w:val="21"/>
        </w:rPr>
      </w:pPr>
      <w:r>
        <w:rPr>
          <w:rFonts w:hint="eastAsia" w:ascii="宋体" w:hAnsi="宋体" w:cs="宋体"/>
          <w:color w:val="000000" w:themeColor="text1"/>
          <w:szCs w:val="21"/>
        </w:rPr>
        <w:t>6.1 投标文件递交的截止时间为</w:t>
      </w:r>
      <w:r>
        <w:rPr>
          <w:rFonts w:hint="eastAsia" w:ascii="宋体" w:hAnsi="宋体" w:cs="宋体"/>
          <w:b/>
          <w:bCs/>
          <w:color w:val="000000" w:themeColor="text1"/>
          <w:szCs w:val="21"/>
          <w:highlight w:val="none"/>
          <w:u w:val="single"/>
        </w:rPr>
        <w:t>2026</w:t>
      </w:r>
      <w:r>
        <w:rPr>
          <w:rFonts w:hint="eastAsia" w:ascii="宋体" w:hAnsi="宋体" w:cs="宋体"/>
          <w:b/>
          <w:bCs/>
          <w:color w:val="000000" w:themeColor="text1"/>
          <w:szCs w:val="21"/>
          <w:highlight w:val="none"/>
        </w:rPr>
        <w:t>年</w:t>
      </w:r>
      <w:r>
        <w:rPr>
          <w:rFonts w:hint="eastAsia" w:ascii="宋体" w:hAnsi="宋体" w:cs="宋体"/>
          <w:b/>
          <w:bCs/>
          <w:color w:val="000000" w:themeColor="text1"/>
          <w:szCs w:val="21"/>
          <w:highlight w:val="none"/>
          <w:lang w:val="en-US" w:eastAsia="zh-CN"/>
        </w:rPr>
        <w:t>9</w:t>
      </w:r>
      <w:r>
        <w:rPr>
          <w:rFonts w:hint="eastAsia" w:ascii="宋体" w:hAnsi="宋体" w:cs="宋体"/>
          <w:b/>
          <w:bCs/>
          <w:color w:val="000000" w:themeColor="text1"/>
          <w:szCs w:val="21"/>
          <w:highlight w:val="none"/>
        </w:rPr>
        <w:t>月</w:t>
      </w:r>
      <w:r>
        <w:rPr>
          <w:rFonts w:hint="eastAsia" w:ascii="宋体" w:hAnsi="宋体" w:cs="宋体"/>
          <w:b/>
          <w:bCs/>
          <w:color w:val="000000" w:themeColor="text1"/>
          <w:szCs w:val="21"/>
          <w:highlight w:val="none"/>
          <w:lang w:val="en-US" w:eastAsia="zh-CN"/>
        </w:rPr>
        <w:t>16</w:t>
      </w:r>
      <w:r>
        <w:rPr>
          <w:rFonts w:hint="eastAsia" w:ascii="宋体" w:hAnsi="宋体" w:cs="宋体"/>
          <w:b/>
          <w:bCs/>
          <w:color w:val="000000" w:themeColor="text1"/>
          <w:szCs w:val="21"/>
          <w:highlight w:val="none"/>
        </w:rPr>
        <w:t>日</w:t>
      </w:r>
      <w:r>
        <w:rPr>
          <w:rFonts w:hint="eastAsia" w:ascii="宋体" w:hAnsi="宋体" w:cs="宋体"/>
          <w:b/>
          <w:bCs/>
          <w:color w:val="000000" w:themeColor="text1"/>
          <w:szCs w:val="21"/>
          <w:highlight w:val="none"/>
          <w:u w:val="single"/>
        </w:rPr>
        <w:t>14</w:t>
      </w:r>
      <w:r>
        <w:rPr>
          <w:rFonts w:hint="eastAsia" w:ascii="宋体" w:hAnsi="宋体" w:cs="宋体"/>
          <w:b/>
          <w:bCs/>
          <w:color w:val="000000" w:themeColor="text1"/>
          <w:szCs w:val="21"/>
          <w:highlight w:val="none"/>
        </w:rPr>
        <w:t>时</w:t>
      </w:r>
      <w:r>
        <w:rPr>
          <w:rFonts w:hint="eastAsia" w:ascii="宋体" w:hAnsi="宋体" w:cs="宋体"/>
          <w:b/>
          <w:bCs/>
          <w:color w:val="000000" w:themeColor="text1"/>
          <w:szCs w:val="21"/>
          <w:highlight w:val="none"/>
          <w:u w:val="single"/>
        </w:rPr>
        <w:t>00</w:t>
      </w:r>
      <w:r>
        <w:rPr>
          <w:rFonts w:hint="eastAsia" w:ascii="宋体" w:hAnsi="宋体" w:cs="宋体"/>
          <w:b/>
          <w:bCs/>
          <w:color w:val="000000" w:themeColor="text1"/>
          <w:szCs w:val="21"/>
          <w:highlight w:val="none"/>
        </w:rPr>
        <w:t>分</w:t>
      </w:r>
      <w:r>
        <w:rPr>
          <w:rFonts w:hint="eastAsia" w:ascii="宋体" w:hAnsi="宋体" w:cs="宋体"/>
          <w:color w:val="000000" w:themeColor="text1"/>
          <w:szCs w:val="21"/>
          <w:highlight w:val="none"/>
        </w:rPr>
        <w:t>。</w:t>
      </w:r>
    </w:p>
    <w:p w14:paraId="3EB34B03">
      <w:pPr>
        <w:spacing w:line="400" w:lineRule="exact"/>
        <w:ind w:firstLine="435"/>
        <w:rPr>
          <w:rFonts w:ascii="宋体" w:hAnsi="宋体" w:cs="宋体"/>
          <w:color w:val="000000" w:themeColor="text1"/>
          <w:szCs w:val="21"/>
        </w:rPr>
      </w:pPr>
      <w:r>
        <w:rPr>
          <w:rFonts w:hint="eastAsia" w:ascii="宋体" w:hAnsi="宋体" w:cs="宋体"/>
          <w:color w:val="000000" w:themeColor="text1"/>
          <w:szCs w:val="21"/>
        </w:rPr>
        <w:t>6.2 逾期送达的或者未送达指定地点的投标文件，招标人不予接受。</w:t>
      </w:r>
    </w:p>
    <w:p w14:paraId="6F6F70A8">
      <w:pPr>
        <w:pStyle w:val="8"/>
        <w:spacing w:line="400" w:lineRule="exact"/>
        <w:rPr>
          <w:rFonts w:ascii="宋体" w:hAnsi="宋体" w:eastAsia="宋体" w:cs="宋体"/>
          <w:color w:val="000000" w:themeColor="text1"/>
          <w:szCs w:val="21"/>
        </w:rPr>
      </w:pPr>
      <w:r>
        <w:rPr>
          <w:rFonts w:hint="eastAsia" w:ascii="宋体" w:hAnsi="宋体" w:eastAsia="宋体" w:cs="宋体"/>
          <w:color w:val="000000" w:themeColor="text1"/>
          <w:szCs w:val="21"/>
        </w:rPr>
        <w:t xml:space="preserve">  6.3 投标文件递交的地点：南通市通州区金霞路555号江海圆融汇1号楼8层开标室。</w:t>
      </w:r>
    </w:p>
    <w:p w14:paraId="3572EAF5">
      <w:pPr>
        <w:pStyle w:val="3"/>
        <w:spacing w:line="400" w:lineRule="exact"/>
        <w:rPr>
          <w:rFonts w:ascii="宋体" w:hAnsi="宋体" w:eastAsia="宋体" w:cs="宋体"/>
          <w:b/>
          <w:color w:val="000000" w:themeColor="text1"/>
          <w:sz w:val="21"/>
          <w:szCs w:val="21"/>
        </w:rPr>
      </w:pPr>
      <w:bookmarkStart w:id="14" w:name="_Toc398107833"/>
      <w:r>
        <w:rPr>
          <w:rFonts w:hint="eastAsia" w:ascii="宋体" w:hAnsi="宋体" w:eastAsia="宋体" w:cs="宋体"/>
          <w:b/>
          <w:color w:val="000000" w:themeColor="text1"/>
          <w:sz w:val="21"/>
          <w:szCs w:val="21"/>
        </w:rPr>
        <w:t>7.发布公告的媒介</w:t>
      </w:r>
      <w:bookmarkEnd w:id="14"/>
    </w:p>
    <w:p w14:paraId="2B9BC527">
      <w:pPr>
        <w:spacing w:line="400" w:lineRule="exact"/>
        <w:ind w:firstLine="437"/>
        <w:rPr>
          <w:rFonts w:ascii="宋体" w:hAnsi="宋体" w:cs="宋体"/>
          <w:color w:val="000000" w:themeColor="text1"/>
          <w:szCs w:val="21"/>
        </w:rPr>
      </w:pPr>
      <w:r>
        <w:rPr>
          <w:rFonts w:hint="eastAsia" w:ascii="宋体" w:hAnsi="宋体" w:cs="宋体"/>
          <w:color w:val="000000" w:themeColor="text1"/>
          <w:szCs w:val="21"/>
        </w:rPr>
        <w:t>本次招标公告在</w:t>
      </w:r>
      <w:r>
        <w:rPr>
          <w:rFonts w:hint="eastAsia" w:ascii="宋体" w:hAnsi="宋体" w:cs="宋体"/>
          <w:color w:val="000000" w:themeColor="text1"/>
          <w:kern w:val="0"/>
          <w:szCs w:val="21"/>
          <w:u w:val="single"/>
        </w:rPr>
        <w:t>“https://www.ntyhjt.com/lists/12.html”</w:t>
      </w:r>
      <w:r>
        <w:rPr>
          <w:rFonts w:hint="eastAsia" w:ascii="宋体" w:hAnsi="宋体" w:cs="宋体"/>
          <w:color w:val="000000" w:themeColor="text1"/>
          <w:szCs w:val="21"/>
        </w:rPr>
        <w:t>网上发布。</w:t>
      </w:r>
    </w:p>
    <w:p w14:paraId="77BB6AA9">
      <w:pPr>
        <w:adjustRightInd w:val="0"/>
        <w:snapToGrid w:val="0"/>
        <w:spacing w:line="400" w:lineRule="exact"/>
        <w:rPr>
          <w:rFonts w:ascii="宋体" w:hAnsi="宋体" w:cs="宋体"/>
          <w:b/>
          <w:bCs/>
          <w:color w:val="000000" w:themeColor="text1"/>
        </w:rPr>
      </w:pPr>
      <w:r>
        <w:rPr>
          <w:rFonts w:hint="eastAsia" w:ascii="宋体" w:hAnsi="宋体" w:cs="宋体"/>
          <w:b/>
          <w:bCs/>
          <w:color w:val="000000" w:themeColor="text1"/>
        </w:rPr>
        <w:t>8.特别提示：</w:t>
      </w:r>
    </w:p>
    <w:p w14:paraId="3E6DA8C6">
      <w:pPr>
        <w:adjustRightInd w:val="0"/>
        <w:snapToGrid w:val="0"/>
        <w:spacing w:line="400" w:lineRule="exact"/>
        <w:ind w:firstLine="420" w:firstLineChars="200"/>
        <w:rPr>
          <w:rFonts w:ascii="宋体" w:hAnsi="宋体" w:cs="宋体"/>
          <w:color w:val="000000" w:themeColor="text1"/>
        </w:rPr>
      </w:pPr>
      <w:r>
        <w:rPr>
          <w:rFonts w:hint="eastAsia" w:ascii="宋体" w:hAnsi="宋体" w:cs="宋体"/>
          <w:color w:val="000000" w:themeColor="text1"/>
        </w:rPr>
        <w:t>（1）未按招标文件要求提交投标保证金的其投标文件均不予接受。</w:t>
      </w:r>
    </w:p>
    <w:p w14:paraId="18746DB2">
      <w:pPr>
        <w:adjustRightInd w:val="0"/>
        <w:snapToGrid w:val="0"/>
        <w:spacing w:line="400" w:lineRule="exact"/>
        <w:ind w:firstLine="420" w:firstLineChars="200"/>
        <w:rPr>
          <w:rFonts w:ascii="宋体" w:hAnsi="宋体" w:cs="宋体"/>
          <w:color w:val="000000" w:themeColor="text1"/>
        </w:rPr>
      </w:pPr>
      <w:r>
        <w:rPr>
          <w:rFonts w:hint="eastAsia" w:ascii="宋体" w:hAnsi="宋体" w:cs="宋体"/>
          <w:color w:val="000000" w:themeColor="text1"/>
        </w:rPr>
        <w:t>（2）招标公告系招标文件的组成部分，与招标文件具有同等法律效力。</w:t>
      </w:r>
    </w:p>
    <w:p w14:paraId="799EB6DD">
      <w:pPr>
        <w:pStyle w:val="3"/>
        <w:spacing w:line="400" w:lineRule="exact"/>
        <w:rPr>
          <w:rFonts w:ascii="宋体" w:hAnsi="宋体" w:eastAsia="宋体" w:cs="宋体"/>
          <w:b/>
          <w:color w:val="000000" w:themeColor="text1"/>
          <w:sz w:val="21"/>
          <w:szCs w:val="24"/>
        </w:rPr>
      </w:pPr>
      <w:r>
        <w:rPr>
          <w:rFonts w:hint="eastAsia" w:ascii="宋体" w:hAnsi="宋体" w:eastAsia="宋体" w:cs="宋体"/>
          <w:b/>
          <w:color w:val="000000" w:themeColor="text1"/>
          <w:sz w:val="21"/>
          <w:szCs w:val="24"/>
        </w:rPr>
        <w:t>9.联系方式</w:t>
      </w:r>
      <w:bookmarkEnd w:id="13"/>
    </w:p>
    <w:tbl>
      <w:tblPr>
        <w:tblStyle w:val="14"/>
        <w:tblW w:w="9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3270"/>
        <w:gridCol w:w="1149"/>
        <w:gridCol w:w="3868"/>
      </w:tblGrid>
      <w:tr w14:paraId="0FC1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152" w:type="dxa"/>
            <w:noWrap/>
            <w:vAlign w:val="center"/>
          </w:tcPr>
          <w:p w14:paraId="3A98AB4A">
            <w:pPr>
              <w:spacing w:line="420" w:lineRule="exact"/>
              <w:jc w:val="center"/>
              <w:rPr>
                <w:rFonts w:ascii="宋体" w:hAnsi="宋体" w:cs="宋体"/>
                <w:b/>
                <w:bCs/>
                <w:color w:val="000000" w:themeColor="text1"/>
              </w:rPr>
            </w:pPr>
            <w:r>
              <w:rPr>
                <w:rFonts w:hint="eastAsia" w:ascii="宋体" w:hAnsi="宋体" w:cs="宋体"/>
                <w:color w:val="000000" w:themeColor="text1"/>
                <w:kern w:val="0"/>
                <w:szCs w:val="21"/>
              </w:rPr>
              <w:t>招标人</w:t>
            </w:r>
          </w:p>
        </w:tc>
        <w:tc>
          <w:tcPr>
            <w:tcW w:w="3270" w:type="dxa"/>
            <w:vAlign w:val="center"/>
          </w:tcPr>
          <w:p w14:paraId="405DED32">
            <w:pPr>
              <w:widowControl/>
              <w:spacing w:before="100" w:beforeAutospacing="1" w:after="100" w:afterAutospacing="1" w:line="480" w:lineRule="exact"/>
              <w:jc w:val="left"/>
              <w:rPr>
                <w:rFonts w:ascii="宋体" w:hAnsi="宋体" w:cs="宋体"/>
                <w:bCs/>
                <w:kern w:val="0"/>
                <w:szCs w:val="21"/>
              </w:rPr>
            </w:pPr>
            <w:r>
              <w:rPr>
                <w:rFonts w:hint="eastAsia" w:ascii="宋体" w:hAnsi="宋体" w:cs="宋体"/>
                <w:color w:val="000000" w:themeColor="text1"/>
                <w:kern w:val="0"/>
                <w:szCs w:val="21"/>
              </w:rPr>
              <w:t>南通浩宏市政工程有限公司</w:t>
            </w:r>
          </w:p>
        </w:tc>
        <w:tc>
          <w:tcPr>
            <w:tcW w:w="1149" w:type="dxa"/>
            <w:noWrap/>
            <w:vAlign w:val="center"/>
          </w:tcPr>
          <w:p w14:paraId="4A49A6C2">
            <w:pPr>
              <w:spacing w:line="420" w:lineRule="exact"/>
              <w:jc w:val="center"/>
              <w:rPr>
                <w:rFonts w:ascii="宋体" w:hAnsi="宋体" w:cs="宋体"/>
                <w:color w:val="000000" w:themeColor="text1"/>
              </w:rPr>
            </w:pPr>
            <w:r>
              <w:rPr>
                <w:rFonts w:hint="eastAsia" w:ascii="宋体" w:hAnsi="宋体" w:cs="宋体"/>
                <w:color w:val="000000" w:themeColor="text1"/>
                <w:kern w:val="0"/>
                <w:szCs w:val="21"/>
              </w:rPr>
              <w:t>代理机构</w:t>
            </w:r>
          </w:p>
        </w:tc>
        <w:tc>
          <w:tcPr>
            <w:tcW w:w="3868" w:type="dxa"/>
            <w:noWrap/>
            <w:vAlign w:val="center"/>
          </w:tcPr>
          <w:p w14:paraId="1A13543A">
            <w:pPr>
              <w:spacing w:line="420" w:lineRule="exact"/>
              <w:rPr>
                <w:rFonts w:ascii="宋体" w:hAnsi="宋体" w:cs="宋体"/>
                <w:color w:val="000000" w:themeColor="text1"/>
              </w:rPr>
            </w:pPr>
            <w:r>
              <w:rPr>
                <w:rFonts w:hint="eastAsia" w:ascii="宋体" w:hAnsi="宋体" w:cs="宋体"/>
                <w:color w:val="000000" w:themeColor="text1"/>
                <w:kern w:val="0"/>
                <w:szCs w:val="21"/>
              </w:rPr>
              <w:t>南通市通州天元建设监理咨询有限公司</w:t>
            </w:r>
          </w:p>
        </w:tc>
      </w:tr>
      <w:tr w14:paraId="6828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52" w:type="dxa"/>
            <w:noWrap/>
            <w:vAlign w:val="center"/>
          </w:tcPr>
          <w:p w14:paraId="4FF96F22">
            <w:pPr>
              <w:spacing w:line="420" w:lineRule="exact"/>
              <w:jc w:val="center"/>
              <w:rPr>
                <w:rFonts w:ascii="宋体" w:hAnsi="宋体" w:cs="宋体"/>
                <w:b/>
                <w:bCs/>
                <w:color w:val="000000" w:themeColor="text1"/>
              </w:rPr>
            </w:pPr>
            <w:r>
              <w:rPr>
                <w:rFonts w:hint="eastAsia" w:ascii="宋体" w:hAnsi="宋体" w:cs="宋体"/>
                <w:color w:val="000000" w:themeColor="text1"/>
                <w:kern w:val="0"/>
                <w:szCs w:val="21"/>
              </w:rPr>
              <w:t>地址</w:t>
            </w:r>
          </w:p>
        </w:tc>
        <w:tc>
          <w:tcPr>
            <w:tcW w:w="3270" w:type="dxa"/>
            <w:vAlign w:val="center"/>
          </w:tcPr>
          <w:p w14:paraId="0C4EB153">
            <w:pPr>
              <w:widowControl/>
              <w:spacing w:before="100" w:beforeAutospacing="1" w:after="100" w:afterAutospacing="1" w:line="480" w:lineRule="exact"/>
              <w:jc w:val="left"/>
              <w:rPr>
                <w:rFonts w:ascii="宋体" w:hAnsi="宋体" w:cs="宋体"/>
                <w:bCs/>
                <w:kern w:val="0"/>
                <w:szCs w:val="21"/>
              </w:rPr>
            </w:pPr>
            <w:r>
              <w:rPr>
                <w:rFonts w:hint="eastAsia" w:ascii="宋体" w:hAnsi="宋体" w:cs="宋体"/>
                <w:bCs/>
                <w:kern w:val="0"/>
                <w:szCs w:val="21"/>
              </w:rPr>
              <w:t>通州区江海圆融汇1#8楼</w:t>
            </w:r>
          </w:p>
        </w:tc>
        <w:tc>
          <w:tcPr>
            <w:tcW w:w="1149" w:type="dxa"/>
            <w:noWrap/>
            <w:vAlign w:val="center"/>
          </w:tcPr>
          <w:p w14:paraId="04B0860C">
            <w:pPr>
              <w:spacing w:line="420" w:lineRule="exact"/>
              <w:jc w:val="center"/>
              <w:rPr>
                <w:rFonts w:ascii="宋体" w:hAnsi="宋体" w:cs="宋体"/>
                <w:color w:val="000000" w:themeColor="text1"/>
              </w:rPr>
            </w:pPr>
            <w:r>
              <w:rPr>
                <w:rFonts w:hint="eastAsia" w:ascii="宋体" w:hAnsi="宋体" w:cs="宋体"/>
                <w:color w:val="000000" w:themeColor="text1"/>
                <w:kern w:val="0"/>
                <w:szCs w:val="21"/>
              </w:rPr>
              <w:t>地址</w:t>
            </w:r>
          </w:p>
        </w:tc>
        <w:tc>
          <w:tcPr>
            <w:tcW w:w="3868" w:type="dxa"/>
            <w:noWrap/>
            <w:vAlign w:val="center"/>
          </w:tcPr>
          <w:p w14:paraId="6A33ABB4">
            <w:pPr>
              <w:spacing w:line="420" w:lineRule="exact"/>
              <w:rPr>
                <w:rFonts w:ascii="宋体" w:hAnsi="宋体" w:cs="宋体"/>
                <w:color w:val="000000" w:themeColor="text1"/>
              </w:rPr>
            </w:pPr>
            <w:r>
              <w:rPr>
                <w:rFonts w:hint="eastAsia" w:ascii="宋体" w:hAnsi="宋体" w:cs="宋体"/>
                <w:color w:val="000000" w:themeColor="text1"/>
                <w:kern w:val="0"/>
                <w:szCs w:val="21"/>
              </w:rPr>
              <w:t>通州区润和大厦8楼</w:t>
            </w:r>
          </w:p>
        </w:tc>
      </w:tr>
      <w:tr w14:paraId="1FD2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152" w:type="dxa"/>
            <w:noWrap/>
            <w:vAlign w:val="center"/>
          </w:tcPr>
          <w:p w14:paraId="5DE2DADB">
            <w:pPr>
              <w:spacing w:line="420" w:lineRule="exact"/>
              <w:jc w:val="center"/>
              <w:rPr>
                <w:rFonts w:ascii="宋体" w:hAnsi="宋体" w:cs="宋体"/>
                <w:b/>
                <w:bCs/>
                <w:color w:val="000000" w:themeColor="text1"/>
              </w:rPr>
            </w:pPr>
            <w:r>
              <w:rPr>
                <w:rFonts w:hint="eastAsia" w:ascii="宋体" w:hAnsi="宋体" w:cs="宋体"/>
                <w:color w:val="000000" w:themeColor="text1"/>
                <w:kern w:val="0"/>
                <w:szCs w:val="21"/>
              </w:rPr>
              <w:t>联系人</w:t>
            </w:r>
          </w:p>
        </w:tc>
        <w:tc>
          <w:tcPr>
            <w:tcW w:w="3270" w:type="dxa"/>
            <w:vAlign w:val="center"/>
          </w:tcPr>
          <w:p w14:paraId="38299085">
            <w:pPr>
              <w:widowControl/>
              <w:spacing w:before="100" w:beforeAutospacing="1" w:after="100" w:afterAutospacing="1" w:line="480" w:lineRule="exact"/>
              <w:jc w:val="left"/>
              <w:rPr>
                <w:rFonts w:ascii="宋体" w:hAnsi="宋体" w:cs="宋体"/>
                <w:bCs/>
                <w:kern w:val="0"/>
                <w:szCs w:val="21"/>
              </w:rPr>
            </w:pPr>
            <w:r>
              <w:rPr>
                <w:rFonts w:hint="eastAsia" w:ascii="宋体" w:hAnsi="宋体" w:cs="宋体"/>
                <w:bCs/>
                <w:kern w:val="0"/>
                <w:szCs w:val="21"/>
              </w:rPr>
              <w:t>瞿先生</w:t>
            </w:r>
          </w:p>
        </w:tc>
        <w:tc>
          <w:tcPr>
            <w:tcW w:w="1149" w:type="dxa"/>
            <w:noWrap/>
            <w:vAlign w:val="center"/>
          </w:tcPr>
          <w:p w14:paraId="0777BDAC">
            <w:pPr>
              <w:spacing w:line="420" w:lineRule="exact"/>
              <w:jc w:val="center"/>
              <w:rPr>
                <w:rFonts w:ascii="宋体" w:hAnsi="宋体" w:cs="宋体"/>
                <w:color w:val="000000" w:themeColor="text1"/>
              </w:rPr>
            </w:pPr>
            <w:r>
              <w:rPr>
                <w:rFonts w:hint="eastAsia" w:ascii="宋体" w:hAnsi="宋体" w:cs="宋体"/>
                <w:color w:val="000000" w:themeColor="text1"/>
                <w:kern w:val="0"/>
                <w:szCs w:val="21"/>
              </w:rPr>
              <w:t>联系人</w:t>
            </w:r>
          </w:p>
        </w:tc>
        <w:tc>
          <w:tcPr>
            <w:tcW w:w="3868" w:type="dxa"/>
            <w:noWrap/>
            <w:vAlign w:val="center"/>
          </w:tcPr>
          <w:p w14:paraId="4457145D">
            <w:pPr>
              <w:spacing w:line="420" w:lineRule="exact"/>
              <w:rPr>
                <w:rFonts w:ascii="宋体" w:hAnsi="宋体" w:cs="宋体"/>
                <w:color w:val="000000" w:themeColor="text1"/>
              </w:rPr>
            </w:pPr>
            <w:r>
              <w:rPr>
                <w:rFonts w:hint="eastAsia" w:ascii="宋体" w:hAnsi="宋体" w:cs="宋体"/>
                <w:color w:val="000000" w:themeColor="text1"/>
                <w:kern w:val="0"/>
                <w:szCs w:val="21"/>
              </w:rPr>
              <w:t>俞先生</w:t>
            </w:r>
          </w:p>
        </w:tc>
      </w:tr>
      <w:tr w14:paraId="74F1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52" w:type="dxa"/>
            <w:noWrap/>
            <w:vAlign w:val="center"/>
          </w:tcPr>
          <w:p w14:paraId="3C5563F5">
            <w:pPr>
              <w:spacing w:line="420" w:lineRule="exact"/>
              <w:jc w:val="center"/>
              <w:rPr>
                <w:rFonts w:ascii="宋体" w:hAnsi="宋体" w:cs="宋体"/>
                <w:b/>
                <w:bCs/>
                <w:color w:val="000000" w:themeColor="text1"/>
              </w:rPr>
            </w:pPr>
            <w:r>
              <w:rPr>
                <w:rFonts w:hint="eastAsia" w:ascii="宋体" w:hAnsi="宋体" w:cs="宋体"/>
                <w:color w:val="000000" w:themeColor="text1"/>
                <w:kern w:val="0"/>
                <w:szCs w:val="21"/>
              </w:rPr>
              <w:t>电话</w:t>
            </w:r>
          </w:p>
        </w:tc>
        <w:tc>
          <w:tcPr>
            <w:tcW w:w="3270" w:type="dxa"/>
            <w:vAlign w:val="center"/>
          </w:tcPr>
          <w:p w14:paraId="0E12752A">
            <w:pPr>
              <w:widowControl/>
              <w:spacing w:before="100" w:beforeAutospacing="1" w:after="100" w:afterAutospacing="1" w:line="480" w:lineRule="exact"/>
              <w:jc w:val="left"/>
              <w:rPr>
                <w:rFonts w:ascii="宋体" w:hAnsi="宋体" w:cs="宋体"/>
                <w:bCs/>
                <w:kern w:val="0"/>
                <w:szCs w:val="21"/>
              </w:rPr>
            </w:pPr>
            <w:r>
              <w:rPr>
                <w:rFonts w:hint="eastAsia" w:ascii="宋体" w:hAnsi="宋体" w:cs="宋体"/>
                <w:bCs/>
                <w:kern w:val="0"/>
                <w:szCs w:val="21"/>
              </w:rPr>
              <w:t>0513-86129190</w:t>
            </w:r>
          </w:p>
        </w:tc>
        <w:tc>
          <w:tcPr>
            <w:tcW w:w="1149" w:type="dxa"/>
            <w:noWrap/>
            <w:vAlign w:val="center"/>
          </w:tcPr>
          <w:p w14:paraId="669AC404">
            <w:pPr>
              <w:spacing w:line="420" w:lineRule="exact"/>
              <w:jc w:val="center"/>
              <w:rPr>
                <w:rFonts w:ascii="宋体" w:hAnsi="宋体" w:cs="宋体"/>
                <w:color w:val="000000" w:themeColor="text1"/>
              </w:rPr>
            </w:pPr>
            <w:r>
              <w:rPr>
                <w:rFonts w:hint="eastAsia" w:ascii="宋体" w:hAnsi="宋体" w:cs="宋体"/>
                <w:color w:val="000000" w:themeColor="text1"/>
                <w:kern w:val="0"/>
                <w:szCs w:val="21"/>
              </w:rPr>
              <w:t>电话</w:t>
            </w:r>
          </w:p>
        </w:tc>
        <w:tc>
          <w:tcPr>
            <w:tcW w:w="3868" w:type="dxa"/>
            <w:noWrap/>
            <w:vAlign w:val="center"/>
          </w:tcPr>
          <w:p w14:paraId="6B01959C">
            <w:pPr>
              <w:spacing w:line="420" w:lineRule="exact"/>
              <w:rPr>
                <w:rFonts w:ascii="宋体" w:hAnsi="宋体" w:cs="宋体"/>
                <w:color w:val="000000" w:themeColor="text1"/>
              </w:rPr>
            </w:pPr>
            <w:r>
              <w:rPr>
                <w:rFonts w:hint="eastAsia" w:ascii="宋体" w:hAnsi="宋体" w:cs="宋体"/>
                <w:color w:val="000000" w:themeColor="text1"/>
                <w:kern w:val="0"/>
                <w:szCs w:val="21"/>
              </w:rPr>
              <w:t>0513-86516066</w:t>
            </w:r>
          </w:p>
        </w:tc>
      </w:tr>
    </w:tbl>
    <w:p w14:paraId="458F0A97">
      <w:pPr>
        <w:rPr>
          <w:rFonts w:ascii="宋体" w:hAnsi="宋体" w:cs="宋体"/>
        </w:rPr>
      </w:pPr>
    </w:p>
    <w:p w14:paraId="1CE66DF9">
      <w:pPr>
        <w:rPr>
          <w:rFonts w:ascii="宋体" w:hAnsi="宋体" w:cs="宋体"/>
        </w:rPr>
      </w:pPr>
    </w:p>
    <w:p w14:paraId="552D5E4C">
      <w:pPr>
        <w:rPr>
          <w:rFonts w:ascii="宋体" w:hAnsi="宋体" w:cs="宋体"/>
        </w:rPr>
      </w:pPr>
    </w:p>
    <w:p w14:paraId="4B26C871">
      <w:pPr>
        <w:pStyle w:val="30"/>
        <w:rPr>
          <w:rFonts w:ascii="宋体" w:hAnsi="宋体" w:cs="宋体"/>
        </w:rPr>
      </w:pPr>
    </w:p>
    <w:p w14:paraId="62EFAAAD">
      <w:pPr>
        <w:rPr>
          <w:rFonts w:ascii="宋体" w:hAnsi="宋体" w:cs="宋体"/>
        </w:rPr>
      </w:pPr>
    </w:p>
    <w:p w14:paraId="665B3997">
      <w:pPr>
        <w:pStyle w:val="2"/>
        <w:numPr>
          <w:ilvl w:val="0"/>
          <w:numId w:val="3"/>
        </w:numPr>
        <w:spacing w:line="460" w:lineRule="exact"/>
        <w:jc w:val="center"/>
        <w:rPr>
          <w:rFonts w:ascii="宋体" w:hAnsi="宋体" w:cs="宋体"/>
          <w:sz w:val="32"/>
          <w:szCs w:val="32"/>
        </w:rPr>
      </w:pPr>
      <w:r>
        <w:rPr>
          <w:rFonts w:hint="eastAsia" w:ascii="宋体" w:hAnsi="宋体" w:cs="宋体"/>
          <w:sz w:val="32"/>
          <w:szCs w:val="32"/>
        </w:rPr>
        <w:t>投标人须知</w:t>
      </w:r>
      <w:bookmarkEnd w:id="7"/>
    </w:p>
    <w:p w14:paraId="35F9195A">
      <w:pPr>
        <w:rPr>
          <w:rFonts w:ascii="宋体" w:hAnsi="宋体" w:cs="宋体"/>
        </w:rPr>
      </w:pPr>
    </w:p>
    <w:p w14:paraId="3FD064B6">
      <w:pPr>
        <w:pStyle w:val="3"/>
        <w:spacing w:line="460" w:lineRule="exact"/>
        <w:jc w:val="center"/>
        <w:rPr>
          <w:rFonts w:ascii="宋体" w:hAnsi="宋体" w:eastAsia="宋体" w:cs="宋体"/>
          <w:sz w:val="30"/>
          <w:szCs w:val="30"/>
        </w:rPr>
      </w:pPr>
      <w:bookmarkStart w:id="15" w:name="_Toc398107836"/>
      <w:r>
        <w:rPr>
          <w:rFonts w:hint="eastAsia" w:ascii="宋体" w:hAnsi="宋体" w:eastAsia="宋体" w:cs="宋体"/>
          <w:sz w:val="30"/>
          <w:szCs w:val="30"/>
        </w:rPr>
        <w:t>投标人须知前附表</w:t>
      </w:r>
      <w:bookmarkEnd w:id="15"/>
    </w:p>
    <w:tbl>
      <w:tblPr>
        <w:tblStyle w:val="14"/>
        <w:tblW w:w="9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929"/>
        <w:gridCol w:w="6889"/>
      </w:tblGrid>
      <w:tr w14:paraId="2196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00" w:type="dxa"/>
            <w:noWrap/>
            <w:vAlign w:val="center"/>
          </w:tcPr>
          <w:p w14:paraId="0299A8CE">
            <w:pPr>
              <w:keepLines/>
              <w:spacing w:line="360" w:lineRule="exact"/>
              <w:jc w:val="center"/>
              <w:rPr>
                <w:rFonts w:ascii="宋体" w:hAnsi="宋体" w:cs="宋体"/>
                <w:b/>
                <w:szCs w:val="21"/>
              </w:rPr>
            </w:pPr>
            <w:r>
              <w:rPr>
                <w:rFonts w:hint="eastAsia" w:ascii="宋体" w:hAnsi="宋体" w:cs="宋体"/>
                <w:b/>
                <w:szCs w:val="21"/>
              </w:rPr>
              <w:t>条款号</w:t>
            </w:r>
          </w:p>
        </w:tc>
        <w:tc>
          <w:tcPr>
            <w:tcW w:w="1929" w:type="dxa"/>
            <w:noWrap/>
            <w:vAlign w:val="center"/>
          </w:tcPr>
          <w:p w14:paraId="12E6E199">
            <w:pPr>
              <w:keepLines/>
              <w:spacing w:line="360" w:lineRule="exact"/>
              <w:jc w:val="center"/>
              <w:rPr>
                <w:rFonts w:ascii="宋体" w:hAnsi="宋体" w:cs="宋体"/>
                <w:b/>
                <w:szCs w:val="21"/>
              </w:rPr>
            </w:pPr>
            <w:r>
              <w:rPr>
                <w:rFonts w:hint="eastAsia" w:ascii="宋体" w:hAnsi="宋体" w:cs="宋体"/>
                <w:b/>
                <w:szCs w:val="21"/>
              </w:rPr>
              <w:t>条款名称</w:t>
            </w:r>
          </w:p>
        </w:tc>
        <w:tc>
          <w:tcPr>
            <w:tcW w:w="6889" w:type="dxa"/>
            <w:noWrap/>
            <w:vAlign w:val="center"/>
          </w:tcPr>
          <w:p w14:paraId="51A1B940">
            <w:pPr>
              <w:keepLines/>
              <w:spacing w:line="360" w:lineRule="exact"/>
              <w:jc w:val="center"/>
              <w:rPr>
                <w:rFonts w:ascii="宋体" w:hAnsi="宋体" w:cs="宋体"/>
                <w:b/>
                <w:szCs w:val="21"/>
              </w:rPr>
            </w:pPr>
            <w:r>
              <w:rPr>
                <w:rFonts w:hint="eastAsia" w:ascii="宋体" w:hAnsi="宋体" w:cs="宋体"/>
                <w:b/>
                <w:szCs w:val="21"/>
              </w:rPr>
              <w:t>编列内容</w:t>
            </w:r>
          </w:p>
        </w:tc>
      </w:tr>
      <w:tr w14:paraId="548A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ign w:val="center"/>
          </w:tcPr>
          <w:p w14:paraId="42CA1A5F">
            <w:pPr>
              <w:keepLines/>
              <w:spacing w:line="360" w:lineRule="exact"/>
              <w:jc w:val="center"/>
              <w:rPr>
                <w:rFonts w:ascii="宋体" w:hAnsi="宋体" w:cs="宋体"/>
                <w:szCs w:val="21"/>
              </w:rPr>
            </w:pPr>
            <w:r>
              <w:rPr>
                <w:rFonts w:hint="eastAsia" w:ascii="宋体" w:hAnsi="宋体" w:cs="宋体"/>
                <w:szCs w:val="21"/>
              </w:rPr>
              <w:t>1.1.2</w:t>
            </w:r>
          </w:p>
        </w:tc>
        <w:tc>
          <w:tcPr>
            <w:tcW w:w="1929" w:type="dxa"/>
            <w:noWrap/>
            <w:vAlign w:val="center"/>
          </w:tcPr>
          <w:p w14:paraId="612DEC56">
            <w:pPr>
              <w:keepLines/>
              <w:spacing w:line="360" w:lineRule="exact"/>
              <w:jc w:val="center"/>
              <w:rPr>
                <w:rFonts w:ascii="宋体" w:hAnsi="宋体" w:cs="宋体"/>
                <w:szCs w:val="21"/>
              </w:rPr>
            </w:pPr>
            <w:r>
              <w:rPr>
                <w:rFonts w:hint="eastAsia" w:ascii="宋体" w:hAnsi="宋体" w:cs="宋体"/>
                <w:szCs w:val="21"/>
              </w:rPr>
              <w:t>招标人</w:t>
            </w:r>
          </w:p>
        </w:tc>
        <w:tc>
          <w:tcPr>
            <w:tcW w:w="6889" w:type="dxa"/>
            <w:noWrap/>
          </w:tcPr>
          <w:p w14:paraId="2EC1311A">
            <w:pPr>
              <w:keepLines/>
              <w:adjustRightInd w:val="0"/>
              <w:snapToGrid w:val="0"/>
              <w:spacing w:line="320" w:lineRule="exact"/>
              <w:ind w:left="105" w:leftChars="50" w:right="105" w:rightChars="50"/>
              <w:rPr>
                <w:rFonts w:ascii="宋体" w:hAnsi="宋体" w:cs="宋体"/>
                <w:szCs w:val="21"/>
              </w:rPr>
            </w:pPr>
            <w:r>
              <w:rPr>
                <w:rFonts w:hint="eastAsia" w:ascii="宋体" w:hAnsi="宋体" w:cs="宋体"/>
                <w:szCs w:val="21"/>
              </w:rPr>
              <w:t>名称：</w:t>
            </w:r>
            <w:r>
              <w:rPr>
                <w:rFonts w:hint="eastAsia" w:ascii="宋体" w:hAnsi="宋体" w:cs="宋体"/>
                <w:color w:val="000000" w:themeColor="text1"/>
                <w:kern w:val="0"/>
                <w:szCs w:val="21"/>
              </w:rPr>
              <w:t>南通浩宏市政工程有限公司</w:t>
            </w:r>
          </w:p>
          <w:p w14:paraId="384D5E24">
            <w:pPr>
              <w:keepLines/>
              <w:adjustRightInd w:val="0"/>
              <w:snapToGrid w:val="0"/>
              <w:spacing w:line="320" w:lineRule="exact"/>
              <w:ind w:left="105" w:leftChars="50" w:right="105" w:rightChars="50"/>
              <w:rPr>
                <w:rFonts w:ascii="宋体" w:hAnsi="宋体" w:cs="宋体"/>
                <w:szCs w:val="21"/>
              </w:rPr>
            </w:pPr>
            <w:r>
              <w:rPr>
                <w:rFonts w:hint="eastAsia" w:ascii="宋体" w:hAnsi="宋体" w:cs="宋体"/>
                <w:szCs w:val="21"/>
              </w:rPr>
              <w:t>地址：</w:t>
            </w:r>
            <w:r>
              <w:rPr>
                <w:rFonts w:hint="eastAsia" w:ascii="宋体" w:hAnsi="宋体" w:cs="宋体"/>
                <w:bCs/>
                <w:kern w:val="0"/>
                <w:szCs w:val="21"/>
              </w:rPr>
              <w:t>通州区江海圆融汇1#8楼</w:t>
            </w:r>
          </w:p>
          <w:p w14:paraId="0D371471">
            <w:pPr>
              <w:keepLines/>
              <w:adjustRightInd w:val="0"/>
              <w:snapToGrid w:val="0"/>
              <w:spacing w:line="320" w:lineRule="exact"/>
              <w:ind w:left="105" w:leftChars="50" w:right="105" w:rightChars="50"/>
              <w:rPr>
                <w:rFonts w:ascii="宋体" w:hAnsi="宋体" w:cs="宋体"/>
                <w:szCs w:val="21"/>
              </w:rPr>
            </w:pPr>
            <w:r>
              <w:rPr>
                <w:rFonts w:hint="eastAsia" w:ascii="宋体" w:hAnsi="宋体" w:cs="宋体"/>
                <w:szCs w:val="21"/>
              </w:rPr>
              <w:t>联系人：</w:t>
            </w:r>
            <w:r>
              <w:rPr>
                <w:rFonts w:hint="eastAsia" w:ascii="宋体" w:hAnsi="宋体" w:cs="宋体"/>
                <w:bCs/>
                <w:kern w:val="0"/>
                <w:szCs w:val="21"/>
              </w:rPr>
              <w:t>瞿先生</w:t>
            </w:r>
          </w:p>
          <w:p w14:paraId="50F389CB">
            <w:pPr>
              <w:keepLines/>
              <w:spacing w:line="320" w:lineRule="exact"/>
              <w:ind w:left="105" w:leftChars="50" w:right="105" w:rightChars="50"/>
              <w:rPr>
                <w:rFonts w:ascii="宋体" w:hAnsi="宋体" w:cs="宋体"/>
                <w:b/>
                <w:szCs w:val="21"/>
              </w:rPr>
            </w:pPr>
            <w:r>
              <w:rPr>
                <w:rFonts w:hint="eastAsia" w:ascii="宋体" w:hAnsi="宋体" w:cs="宋体"/>
                <w:szCs w:val="21"/>
              </w:rPr>
              <w:t>电话：</w:t>
            </w:r>
            <w:r>
              <w:rPr>
                <w:rFonts w:hint="eastAsia" w:ascii="宋体" w:hAnsi="宋体" w:cs="宋体"/>
                <w:bCs/>
                <w:kern w:val="0"/>
                <w:szCs w:val="21"/>
              </w:rPr>
              <w:t>0513-86129190</w:t>
            </w:r>
          </w:p>
        </w:tc>
      </w:tr>
      <w:tr w14:paraId="4B3B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ign w:val="center"/>
          </w:tcPr>
          <w:p w14:paraId="406309D4">
            <w:pPr>
              <w:keepLines/>
              <w:spacing w:line="360" w:lineRule="exact"/>
              <w:jc w:val="center"/>
              <w:rPr>
                <w:rFonts w:ascii="宋体" w:hAnsi="宋体" w:cs="宋体"/>
                <w:szCs w:val="21"/>
              </w:rPr>
            </w:pPr>
            <w:r>
              <w:rPr>
                <w:rFonts w:hint="eastAsia" w:ascii="宋体" w:hAnsi="宋体" w:cs="宋体"/>
                <w:szCs w:val="21"/>
              </w:rPr>
              <w:t>1.1.3</w:t>
            </w:r>
          </w:p>
        </w:tc>
        <w:tc>
          <w:tcPr>
            <w:tcW w:w="1929" w:type="dxa"/>
            <w:noWrap/>
            <w:vAlign w:val="center"/>
          </w:tcPr>
          <w:p w14:paraId="3FEAA629">
            <w:pPr>
              <w:keepLines/>
              <w:spacing w:line="360" w:lineRule="exact"/>
              <w:jc w:val="center"/>
              <w:rPr>
                <w:rFonts w:ascii="宋体" w:hAnsi="宋体" w:cs="宋体"/>
                <w:szCs w:val="21"/>
              </w:rPr>
            </w:pPr>
            <w:r>
              <w:rPr>
                <w:rFonts w:hint="eastAsia" w:ascii="宋体" w:hAnsi="宋体" w:cs="宋体"/>
                <w:szCs w:val="21"/>
              </w:rPr>
              <w:t>招标代理机构</w:t>
            </w:r>
          </w:p>
        </w:tc>
        <w:tc>
          <w:tcPr>
            <w:tcW w:w="6889" w:type="dxa"/>
            <w:noWrap/>
          </w:tcPr>
          <w:p w14:paraId="1DD8745C">
            <w:pPr>
              <w:keepLines/>
              <w:adjustRightInd w:val="0"/>
              <w:snapToGrid w:val="0"/>
              <w:spacing w:line="320" w:lineRule="exact"/>
              <w:ind w:left="105" w:leftChars="50" w:right="105" w:rightChars="50"/>
              <w:rPr>
                <w:rFonts w:ascii="宋体" w:hAnsi="宋体" w:cs="宋体"/>
                <w:szCs w:val="21"/>
              </w:rPr>
            </w:pPr>
            <w:r>
              <w:rPr>
                <w:rFonts w:hint="eastAsia" w:ascii="宋体" w:hAnsi="宋体" w:cs="宋体"/>
                <w:szCs w:val="21"/>
              </w:rPr>
              <w:t xml:space="preserve">名称：南通市通州天元建设监理咨询有限公司 </w:t>
            </w:r>
          </w:p>
          <w:p w14:paraId="30AE49B9">
            <w:pPr>
              <w:keepLines/>
              <w:adjustRightInd w:val="0"/>
              <w:snapToGrid w:val="0"/>
              <w:spacing w:line="320" w:lineRule="exact"/>
              <w:ind w:left="105" w:leftChars="50" w:right="105" w:rightChars="50"/>
              <w:rPr>
                <w:rFonts w:ascii="宋体" w:hAnsi="宋体" w:cs="宋体"/>
                <w:szCs w:val="21"/>
              </w:rPr>
            </w:pPr>
            <w:r>
              <w:rPr>
                <w:rFonts w:hint="eastAsia" w:ascii="宋体" w:hAnsi="宋体" w:cs="宋体"/>
                <w:szCs w:val="21"/>
              </w:rPr>
              <w:t>地址：</w:t>
            </w:r>
            <w:r>
              <w:rPr>
                <w:rFonts w:hint="eastAsia" w:ascii="宋体" w:hAnsi="宋体"/>
                <w:kern w:val="0"/>
                <w:szCs w:val="21"/>
              </w:rPr>
              <w:t>南通市通州区润和大厦8楼</w:t>
            </w:r>
          </w:p>
          <w:p w14:paraId="7BF6CA23">
            <w:pPr>
              <w:keepLines/>
              <w:adjustRightInd w:val="0"/>
              <w:snapToGrid w:val="0"/>
              <w:spacing w:line="320" w:lineRule="exact"/>
              <w:ind w:left="105" w:leftChars="50" w:right="105" w:rightChars="50"/>
              <w:rPr>
                <w:rFonts w:ascii="宋体" w:hAnsi="宋体" w:cs="宋体"/>
                <w:szCs w:val="21"/>
              </w:rPr>
            </w:pPr>
            <w:r>
              <w:rPr>
                <w:rFonts w:hint="eastAsia" w:ascii="宋体" w:hAnsi="宋体" w:cs="宋体"/>
                <w:szCs w:val="21"/>
              </w:rPr>
              <w:t>联系人：俞先生</w:t>
            </w:r>
          </w:p>
          <w:p w14:paraId="4BEF27EC">
            <w:pPr>
              <w:keepLines/>
              <w:adjustRightInd w:val="0"/>
              <w:snapToGrid w:val="0"/>
              <w:spacing w:line="320" w:lineRule="exact"/>
              <w:ind w:left="105" w:leftChars="50" w:right="105" w:rightChars="50"/>
              <w:rPr>
                <w:rFonts w:ascii="宋体" w:hAnsi="宋体" w:cs="宋体"/>
                <w:szCs w:val="21"/>
              </w:rPr>
            </w:pPr>
            <w:r>
              <w:rPr>
                <w:rFonts w:hint="eastAsia" w:ascii="宋体" w:hAnsi="宋体" w:cs="宋体"/>
                <w:szCs w:val="21"/>
              </w:rPr>
              <w:t>电话： 0513-86516066</w:t>
            </w:r>
          </w:p>
        </w:tc>
      </w:tr>
      <w:tr w14:paraId="12C6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00" w:type="dxa"/>
            <w:noWrap/>
            <w:vAlign w:val="center"/>
          </w:tcPr>
          <w:p w14:paraId="2AA2E6E3">
            <w:pPr>
              <w:keepLines/>
              <w:spacing w:line="360" w:lineRule="exact"/>
              <w:jc w:val="center"/>
              <w:rPr>
                <w:rFonts w:ascii="宋体" w:hAnsi="宋体" w:cs="宋体"/>
                <w:szCs w:val="21"/>
              </w:rPr>
            </w:pPr>
            <w:r>
              <w:rPr>
                <w:rFonts w:hint="eastAsia" w:ascii="宋体" w:hAnsi="宋体" w:cs="宋体"/>
                <w:szCs w:val="21"/>
              </w:rPr>
              <w:t>1.1.4</w:t>
            </w:r>
          </w:p>
        </w:tc>
        <w:tc>
          <w:tcPr>
            <w:tcW w:w="1929" w:type="dxa"/>
            <w:noWrap/>
            <w:vAlign w:val="center"/>
          </w:tcPr>
          <w:p w14:paraId="60BB2F3C">
            <w:pPr>
              <w:keepLines/>
              <w:spacing w:line="360" w:lineRule="exact"/>
              <w:jc w:val="center"/>
              <w:rPr>
                <w:rFonts w:ascii="宋体" w:hAnsi="宋体" w:cs="宋体"/>
                <w:szCs w:val="21"/>
              </w:rPr>
            </w:pPr>
            <w:r>
              <w:rPr>
                <w:rFonts w:hint="eastAsia" w:ascii="宋体" w:hAnsi="宋体" w:cs="宋体"/>
                <w:szCs w:val="21"/>
              </w:rPr>
              <w:t>项目名称</w:t>
            </w:r>
          </w:p>
        </w:tc>
        <w:tc>
          <w:tcPr>
            <w:tcW w:w="6889" w:type="dxa"/>
            <w:noWrap/>
            <w:vAlign w:val="center"/>
          </w:tcPr>
          <w:p w14:paraId="7FC56223">
            <w:pPr>
              <w:keepLines/>
              <w:spacing w:line="320" w:lineRule="exact"/>
              <w:ind w:left="105" w:leftChars="50" w:right="105" w:rightChars="50"/>
              <w:rPr>
                <w:rFonts w:ascii="宋体" w:hAnsi="宋体" w:cs="宋体"/>
                <w:b/>
                <w:szCs w:val="21"/>
              </w:rPr>
            </w:pPr>
            <w:r>
              <w:rPr>
                <w:rFonts w:hint="eastAsia" w:ascii="宋体" w:hAnsi="宋体" w:cs="宋体"/>
                <w:szCs w:val="21"/>
              </w:rPr>
              <w:t>希望大桥北岸供电杆线迁改工程及2026年新建小区外线接入工程（庆园、隐湖别苑、云和锦上花园）等项目供电监理</w:t>
            </w:r>
          </w:p>
        </w:tc>
      </w:tr>
      <w:tr w14:paraId="20C7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00" w:type="dxa"/>
            <w:noWrap/>
            <w:vAlign w:val="center"/>
          </w:tcPr>
          <w:p w14:paraId="27B412C2">
            <w:pPr>
              <w:keepLines/>
              <w:spacing w:line="360" w:lineRule="exact"/>
              <w:jc w:val="center"/>
              <w:rPr>
                <w:rFonts w:ascii="宋体" w:hAnsi="宋体" w:cs="宋体"/>
                <w:szCs w:val="21"/>
              </w:rPr>
            </w:pPr>
            <w:r>
              <w:rPr>
                <w:rFonts w:hint="eastAsia" w:ascii="宋体" w:hAnsi="宋体" w:cs="宋体"/>
                <w:szCs w:val="21"/>
              </w:rPr>
              <w:t>1.1.5</w:t>
            </w:r>
          </w:p>
        </w:tc>
        <w:tc>
          <w:tcPr>
            <w:tcW w:w="1929" w:type="dxa"/>
            <w:noWrap/>
            <w:vAlign w:val="center"/>
          </w:tcPr>
          <w:p w14:paraId="3B9FC85E">
            <w:pPr>
              <w:keepLines/>
              <w:spacing w:line="360" w:lineRule="exact"/>
              <w:jc w:val="center"/>
              <w:rPr>
                <w:rFonts w:ascii="宋体" w:hAnsi="宋体" w:cs="宋体"/>
                <w:szCs w:val="21"/>
              </w:rPr>
            </w:pPr>
            <w:r>
              <w:rPr>
                <w:rFonts w:hint="eastAsia" w:ascii="宋体" w:hAnsi="宋体" w:cs="宋体"/>
                <w:szCs w:val="21"/>
              </w:rPr>
              <w:t>建设地点</w:t>
            </w:r>
          </w:p>
        </w:tc>
        <w:tc>
          <w:tcPr>
            <w:tcW w:w="6889" w:type="dxa"/>
            <w:noWrap/>
            <w:vAlign w:val="center"/>
          </w:tcPr>
          <w:p w14:paraId="0B535ADB">
            <w:pPr>
              <w:keepLines/>
              <w:spacing w:line="320" w:lineRule="exact"/>
              <w:ind w:left="105" w:leftChars="50" w:right="105" w:rightChars="50"/>
              <w:rPr>
                <w:rFonts w:ascii="宋体" w:hAnsi="宋体" w:cs="宋体" w:eastAsiaTheme="minorEastAsia"/>
                <w:szCs w:val="21"/>
              </w:rPr>
            </w:pPr>
            <w:r>
              <w:rPr>
                <w:rFonts w:hint="eastAsia" w:cs="宋体" w:asciiTheme="minorEastAsia" w:hAnsiTheme="minorEastAsia" w:eastAsiaTheme="minorEastAsia"/>
              </w:rPr>
              <w:t>南通市通州区</w:t>
            </w:r>
          </w:p>
        </w:tc>
      </w:tr>
      <w:tr w14:paraId="7EC8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ign w:val="center"/>
          </w:tcPr>
          <w:p w14:paraId="12B17354">
            <w:pPr>
              <w:keepLines/>
              <w:spacing w:line="360" w:lineRule="exact"/>
              <w:jc w:val="center"/>
              <w:rPr>
                <w:rFonts w:ascii="宋体" w:hAnsi="宋体" w:cs="宋体"/>
                <w:szCs w:val="21"/>
              </w:rPr>
            </w:pPr>
            <w:r>
              <w:rPr>
                <w:rFonts w:hint="eastAsia" w:ascii="宋体" w:hAnsi="宋体" w:cs="宋体"/>
                <w:szCs w:val="21"/>
              </w:rPr>
              <w:t>1.2</w:t>
            </w:r>
          </w:p>
        </w:tc>
        <w:tc>
          <w:tcPr>
            <w:tcW w:w="1929" w:type="dxa"/>
            <w:noWrap/>
            <w:vAlign w:val="center"/>
          </w:tcPr>
          <w:p w14:paraId="6058E9C1">
            <w:pPr>
              <w:keepLines/>
              <w:spacing w:line="360" w:lineRule="exact"/>
              <w:jc w:val="center"/>
              <w:rPr>
                <w:rFonts w:ascii="宋体" w:hAnsi="宋体" w:cs="宋体"/>
                <w:szCs w:val="21"/>
              </w:rPr>
            </w:pPr>
            <w:r>
              <w:rPr>
                <w:rFonts w:hint="eastAsia" w:ascii="宋体" w:hAnsi="宋体" w:cs="宋体"/>
                <w:szCs w:val="21"/>
              </w:rPr>
              <w:t>建设资金</w:t>
            </w:r>
          </w:p>
        </w:tc>
        <w:tc>
          <w:tcPr>
            <w:tcW w:w="6889" w:type="dxa"/>
            <w:noWrap/>
          </w:tcPr>
          <w:p w14:paraId="520AA867">
            <w:pPr>
              <w:keepLines/>
              <w:spacing w:line="320" w:lineRule="exact"/>
              <w:ind w:left="105" w:leftChars="50" w:right="105" w:rightChars="50"/>
              <w:rPr>
                <w:rFonts w:ascii="宋体" w:hAnsi="宋体" w:cs="宋体"/>
                <w:b/>
                <w:szCs w:val="21"/>
              </w:rPr>
            </w:pPr>
            <w:r>
              <w:rPr>
                <w:rFonts w:hint="eastAsia" w:ascii="宋体" w:hAnsi="宋体" w:cs="宋体"/>
                <w:szCs w:val="21"/>
              </w:rPr>
              <w:t>资金来源:企业自筹  出资比例：100% 已落实。</w:t>
            </w:r>
          </w:p>
        </w:tc>
      </w:tr>
      <w:tr w14:paraId="6F20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00" w:type="dxa"/>
            <w:noWrap/>
            <w:vAlign w:val="center"/>
          </w:tcPr>
          <w:p w14:paraId="0D369AC8">
            <w:pPr>
              <w:keepLines/>
              <w:spacing w:line="360" w:lineRule="exact"/>
              <w:jc w:val="center"/>
              <w:rPr>
                <w:rFonts w:ascii="宋体" w:hAnsi="宋体" w:cs="宋体"/>
                <w:szCs w:val="21"/>
              </w:rPr>
            </w:pPr>
            <w:r>
              <w:rPr>
                <w:rFonts w:hint="eastAsia" w:ascii="宋体" w:hAnsi="宋体" w:cs="宋体"/>
                <w:szCs w:val="21"/>
              </w:rPr>
              <w:t>1.3.1</w:t>
            </w:r>
          </w:p>
        </w:tc>
        <w:tc>
          <w:tcPr>
            <w:tcW w:w="1929" w:type="dxa"/>
            <w:noWrap/>
            <w:vAlign w:val="center"/>
          </w:tcPr>
          <w:p w14:paraId="69219697">
            <w:pPr>
              <w:keepLines/>
              <w:spacing w:line="360" w:lineRule="exact"/>
              <w:jc w:val="center"/>
              <w:rPr>
                <w:rFonts w:ascii="宋体" w:hAnsi="宋体" w:cs="宋体"/>
                <w:szCs w:val="21"/>
              </w:rPr>
            </w:pPr>
            <w:r>
              <w:rPr>
                <w:rFonts w:hint="eastAsia" w:ascii="宋体" w:hAnsi="宋体" w:cs="宋体"/>
                <w:szCs w:val="21"/>
              </w:rPr>
              <w:t>招标范围</w:t>
            </w:r>
          </w:p>
        </w:tc>
        <w:tc>
          <w:tcPr>
            <w:tcW w:w="6889" w:type="dxa"/>
            <w:noWrap/>
          </w:tcPr>
          <w:p w14:paraId="2C6438F3">
            <w:pPr>
              <w:keepLines/>
              <w:spacing w:line="320" w:lineRule="exact"/>
              <w:ind w:right="105" w:rightChars="50"/>
              <w:rPr>
                <w:rFonts w:ascii="宋体" w:hAnsi="宋体" w:cs="宋体"/>
                <w:kern w:val="0"/>
                <w:szCs w:val="21"/>
              </w:rPr>
            </w:pPr>
            <w:r>
              <w:rPr>
                <w:rFonts w:hint="eastAsia" w:ascii="宋体" w:hAnsi="宋体" w:cs="宋体"/>
              </w:rPr>
              <w:t>招标范围：</w:t>
            </w:r>
            <w:r>
              <w:rPr>
                <w:rFonts w:hint="eastAsia" w:ascii="宋体" w:hAnsi="宋体" w:cs="宋体"/>
                <w:kern w:val="0"/>
                <w:szCs w:val="21"/>
              </w:rPr>
              <w:t>包括但不限于：</w:t>
            </w:r>
          </w:p>
          <w:p w14:paraId="52E01C42">
            <w:pPr>
              <w:keepLines/>
              <w:adjustRightInd w:val="0"/>
              <w:snapToGrid w:val="0"/>
              <w:spacing w:line="320" w:lineRule="exact"/>
              <w:rPr>
                <w:rFonts w:ascii="宋体" w:hAnsi="宋体" w:cs="宋体"/>
                <w:color w:val="000000" w:themeColor="text1"/>
                <w:szCs w:val="21"/>
              </w:rPr>
            </w:pPr>
            <w:r>
              <w:rPr>
                <w:rFonts w:hint="eastAsia" w:ascii="宋体" w:hAnsi="宋体" w:cs="宋体"/>
                <w:color w:val="000000" w:themeColor="text1"/>
                <w:szCs w:val="21"/>
              </w:rPr>
              <w:t>①项目施工及保修阶段监理；</w:t>
            </w:r>
          </w:p>
          <w:p w14:paraId="6B929617">
            <w:pPr>
              <w:keepLines/>
              <w:adjustRightInd w:val="0"/>
              <w:snapToGrid w:val="0"/>
              <w:spacing w:line="320" w:lineRule="exact"/>
              <w:rPr>
                <w:rFonts w:ascii="宋体" w:hAnsi="宋体" w:cs="宋体"/>
                <w:szCs w:val="21"/>
              </w:rPr>
            </w:pPr>
            <w:r>
              <w:rPr>
                <w:rFonts w:hint="eastAsia" w:ascii="宋体" w:hAnsi="宋体" w:cs="宋体"/>
                <w:color w:val="000000" w:themeColor="text1"/>
                <w:szCs w:val="21"/>
              </w:rPr>
              <w:t>②其它与工程有关的必不可少的配套项目（含材料设备的采购等）的监理。</w:t>
            </w:r>
          </w:p>
        </w:tc>
      </w:tr>
      <w:tr w14:paraId="5393E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00" w:type="dxa"/>
            <w:noWrap/>
            <w:vAlign w:val="center"/>
          </w:tcPr>
          <w:p w14:paraId="75070760">
            <w:pPr>
              <w:keepLines/>
              <w:spacing w:line="360" w:lineRule="exact"/>
              <w:jc w:val="center"/>
              <w:rPr>
                <w:rFonts w:ascii="宋体" w:hAnsi="宋体" w:cs="宋体"/>
                <w:szCs w:val="21"/>
              </w:rPr>
            </w:pPr>
            <w:r>
              <w:rPr>
                <w:rFonts w:hint="eastAsia" w:ascii="宋体" w:hAnsi="宋体" w:cs="宋体"/>
                <w:szCs w:val="21"/>
              </w:rPr>
              <w:t>1.3.2</w:t>
            </w:r>
          </w:p>
        </w:tc>
        <w:tc>
          <w:tcPr>
            <w:tcW w:w="1929" w:type="dxa"/>
            <w:noWrap/>
            <w:vAlign w:val="center"/>
          </w:tcPr>
          <w:p w14:paraId="1BA3E529">
            <w:pPr>
              <w:keepLines/>
              <w:spacing w:line="360" w:lineRule="exact"/>
              <w:jc w:val="center"/>
              <w:rPr>
                <w:rFonts w:ascii="宋体" w:hAnsi="宋体" w:cs="宋体"/>
                <w:szCs w:val="21"/>
              </w:rPr>
            </w:pPr>
            <w:r>
              <w:rPr>
                <w:rFonts w:hint="eastAsia" w:ascii="宋体" w:hAnsi="宋体" w:cs="宋体"/>
                <w:szCs w:val="21"/>
              </w:rPr>
              <w:t>监理服务期限</w:t>
            </w:r>
          </w:p>
        </w:tc>
        <w:tc>
          <w:tcPr>
            <w:tcW w:w="6889" w:type="dxa"/>
            <w:noWrap/>
            <w:vAlign w:val="center"/>
          </w:tcPr>
          <w:p w14:paraId="00267BE1">
            <w:pPr>
              <w:keepLines/>
              <w:spacing w:line="320" w:lineRule="exact"/>
              <w:rPr>
                <w:rFonts w:ascii="宋体" w:hAnsi="宋体" w:cs="宋体"/>
                <w:szCs w:val="21"/>
              </w:rPr>
            </w:pPr>
            <w:r>
              <w:rPr>
                <w:rFonts w:hint="eastAsia" w:ascii="宋体" w:hAnsi="宋体" w:cs="宋体"/>
                <w:bCs/>
                <w:szCs w:val="21"/>
              </w:rPr>
              <w:t>自施工准备阶段至项目竣工全过程监理包含保修期（缺陷责任期）。</w:t>
            </w:r>
          </w:p>
        </w:tc>
      </w:tr>
      <w:tr w14:paraId="50CC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00" w:type="dxa"/>
            <w:noWrap/>
            <w:vAlign w:val="center"/>
          </w:tcPr>
          <w:p w14:paraId="3158AABD">
            <w:pPr>
              <w:keepLines/>
              <w:spacing w:line="360" w:lineRule="exact"/>
              <w:jc w:val="center"/>
              <w:rPr>
                <w:rFonts w:ascii="宋体" w:hAnsi="宋体" w:cs="宋体"/>
                <w:szCs w:val="21"/>
              </w:rPr>
            </w:pPr>
            <w:r>
              <w:rPr>
                <w:rFonts w:hint="eastAsia" w:ascii="宋体" w:hAnsi="宋体" w:cs="宋体"/>
                <w:szCs w:val="21"/>
              </w:rPr>
              <w:t>1.3.3</w:t>
            </w:r>
          </w:p>
        </w:tc>
        <w:tc>
          <w:tcPr>
            <w:tcW w:w="1929" w:type="dxa"/>
            <w:noWrap/>
            <w:vAlign w:val="center"/>
          </w:tcPr>
          <w:p w14:paraId="1B575D5C">
            <w:pPr>
              <w:keepLines/>
              <w:spacing w:line="360" w:lineRule="exact"/>
              <w:jc w:val="center"/>
              <w:rPr>
                <w:rFonts w:ascii="宋体" w:hAnsi="宋体" w:cs="宋体"/>
                <w:szCs w:val="21"/>
              </w:rPr>
            </w:pPr>
            <w:r>
              <w:rPr>
                <w:rFonts w:hint="eastAsia" w:ascii="宋体" w:hAnsi="宋体" w:cs="宋体"/>
                <w:szCs w:val="21"/>
              </w:rPr>
              <w:t>质量要求</w:t>
            </w:r>
          </w:p>
        </w:tc>
        <w:tc>
          <w:tcPr>
            <w:tcW w:w="6889" w:type="dxa"/>
            <w:noWrap/>
            <w:vAlign w:val="center"/>
          </w:tcPr>
          <w:p w14:paraId="5C7192EF">
            <w:pPr>
              <w:keepLines/>
              <w:spacing w:line="320" w:lineRule="exact"/>
              <w:rPr>
                <w:rFonts w:ascii="宋体" w:hAnsi="宋体" w:cs="宋体"/>
                <w:b/>
                <w:szCs w:val="21"/>
              </w:rPr>
            </w:pPr>
            <w:r>
              <w:rPr>
                <w:rFonts w:hint="eastAsia" w:ascii="宋体" w:hAnsi="宋体" w:cs="宋体"/>
                <w:bCs/>
                <w:szCs w:val="21"/>
              </w:rPr>
              <w:t>合格</w:t>
            </w:r>
          </w:p>
        </w:tc>
      </w:tr>
      <w:tr w14:paraId="3992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0" w:type="dxa"/>
            <w:noWrap/>
            <w:vAlign w:val="center"/>
          </w:tcPr>
          <w:p w14:paraId="1887AFEE">
            <w:pPr>
              <w:keepLines/>
              <w:spacing w:line="360" w:lineRule="exact"/>
              <w:jc w:val="center"/>
              <w:rPr>
                <w:rFonts w:ascii="宋体" w:hAnsi="宋体" w:cs="宋体"/>
                <w:szCs w:val="21"/>
              </w:rPr>
            </w:pPr>
            <w:r>
              <w:rPr>
                <w:rFonts w:hint="eastAsia" w:ascii="宋体" w:hAnsi="宋体" w:cs="宋体"/>
                <w:szCs w:val="21"/>
              </w:rPr>
              <w:t>1.4.1</w:t>
            </w:r>
          </w:p>
        </w:tc>
        <w:tc>
          <w:tcPr>
            <w:tcW w:w="1929" w:type="dxa"/>
            <w:noWrap/>
            <w:vAlign w:val="center"/>
          </w:tcPr>
          <w:p w14:paraId="7D1DEBE2">
            <w:pPr>
              <w:keepLines/>
              <w:spacing w:line="360" w:lineRule="exact"/>
              <w:jc w:val="center"/>
              <w:rPr>
                <w:rFonts w:ascii="宋体" w:hAnsi="宋体" w:cs="宋体"/>
                <w:szCs w:val="21"/>
              </w:rPr>
            </w:pPr>
            <w:r>
              <w:rPr>
                <w:rFonts w:hint="eastAsia" w:ascii="宋体" w:hAnsi="宋体" w:cs="宋体"/>
                <w:szCs w:val="21"/>
              </w:rPr>
              <w:t>投标人资格要求</w:t>
            </w:r>
          </w:p>
        </w:tc>
        <w:tc>
          <w:tcPr>
            <w:tcW w:w="6889" w:type="dxa"/>
            <w:noWrap/>
            <w:vAlign w:val="center"/>
          </w:tcPr>
          <w:p w14:paraId="33DC7256">
            <w:pPr>
              <w:keepLines/>
              <w:spacing w:line="320" w:lineRule="exact"/>
              <w:rPr>
                <w:b/>
                <w:color w:val="000000"/>
                <w:u w:val="single"/>
              </w:rPr>
            </w:pPr>
            <w:r>
              <w:rPr>
                <w:rFonts w:hint="eastAsia" w:ascii="宋体" w:hAnsi="宋体" w:cs="宋体"/>
                <w:bCs/>
                <w:szCs w:val="21"/>
              </w:rPr>
              <w:t>见第一章“招标公告”</w:t>
            </w:r>
          </w:p>
        </w:tc>
      </w:tr>
      <w:tr w14:paraId="1C50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exact"/>
          <w:jc w:val="center"/>
        </w:trPr>
        <w:tc>
          <w:tcPr>
            <w:tcW w:w="900" w:type="dxa"/>
            <w:noWrap/>
            <w:vAlign w:val="center"/>
          </w:tcPr>
          <w:p w14:paraId="386E3560">
            <w:pPr>
              <w:keepLines/>
              <w:spacing w:line="360" w:lineRule="exact"/>
              <w:jc w:val="center"/>
              <w:rPr>
                <w:rFonts w:ascii="宋体" w:hAnsi="宋体" w:cs="宋体"/>
                <w:szCs w:val="21"/>
              </w:rPr>
            </w:pPr>
            <w:r>
              <w:rPr>
                <w:rFonts w:hint="eastAsia" w:ascii="宋体" w:hAnsi="宋体" w:cs="宋体"/>
                <w:szCs w:val="21"/>
              </w:rPr>
              <w:t>1.4.2</w:t>
            </w:r>
          </w:p>
        </w:tc>
        <w:tc>
          <w:tcPr>
            <w:tcW w:w="1929" w:type="dxa"/>
            <w:noWrap/>
            <w:vAlign w:val="center"/>
          </w:tcPr>
          <w:p w14:paraId="7CB7C5F8">
            <w:pPr>
              <w:keepLines/>
              <w:spacing w:line="360" w:lineRule="exact"/>
              <w:jc w:val="center"/>
              <w:rPr>
                <w:rFonts w:hint="eastAsia" w:ascii="宋体" w:hAnsi="宋体" w:cs="宋体"/>
                <w:szCs w:val="21"/>
              </w:rPr>
            </w:pPr>
            <w:r>
              <w:rPr>
                <w:rFonts w:hint="eastAsia" w:ascii="宋体" w:hAnsi="宋体" w:cs="宋体"/>
                <w:szCs w:val="21"/>
              </w:rPr>
              <w:t>是否接受联合体</w:t>
            </w:r>
          </w:p>
          <w:p w14:paraId="34761618">
            <w:pPr>
              <w:keepLines/>
              <w:spacing w:line="360" w:lineRule="exact"/>
              <w:jc w:val="center"/>
              <w:rPr>
                <w:rFonts w:ascii="宋体" w:hAnsi="宋体" w:cs="宋体"/>
                <w:szCs w:val="21"/>
              </w:rPr>
            </w:pPr>
            <w:r>
              <w:rPr>
                <w:rFonts w:hint="eastAsia" w:ascii="宋体" w:hAnsi="宋体" w:cs="宋体"/>
                <w:szCs w:val="21"/>
              </w:rPr>
              <w:t>投标</w:t>
            </w:r>
          </w:p>
        </w:tc>
        <w:tc>
          <w:tcPr>
            <w:tcW w:w="6889" w:type="dxa"/>
            <w:noWrap/>
            <w:vAlign w:val="center"/>
          </w:tcPr>
          <w:p w14:paraId="033D77D1">
            <w:pPr>
              <w:keepLines/>
              <w:spacing w:line="320" w:lineRule="exact"/>
              <w:ind w:left="105" w:leftChars="50" w:right="105" w:rightChars="50"/>
              <w:rPr>
                <w:rFonts w:ascii="宋体" w:hAnsi="宋体" w:cs="宋体"/>
                <w:szCs w:val="21"/>
              </w:rPr>
            </w:pPr>
            <w:r>
              <w:rPr>
                <w:rFonts w:hint="eastAsia" w:ascii="宋体" w:hAnsi="宋体" w:cs="宋体"/>
                <w:szCs w:val="21"/>
              </w:rPr>
              <w:t>不接受</w:t>
            </w:r>
          </w:p>
        </w:tc>
      </w:tr>
      <w:tr w14:paraId="2C2E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exact"/>
          <w:jc w:val="center"/>
        </w:trPr>
        <w:tc>
          <w:tcPr>
            <w:tcW w:w="900" w:type="dxa"/>
            <w:noWrap/>
            <w:vAlign w:val="center"/>
          </w:tcPr>
          <w:p w14:paraId="043A3D57">
            <w:pPr>
              <w:keepLines/>
              <w:spacing w:line="360" w:lineRule="exact"/>
              <w:jc w:val="center"/>
              <w:rPr>
                <w:rFonts w:ascii="宋体" w:hAnsi="宋体" w:cs="宋体"/>
                <w:b/>
                <w:szCs w:val="21"/>
              </w:rPr>
            </w:pPr>
            <w:r>
              <w:rPr>
                <w:rFonts w:hint="eastAsia" w:ascii="宋体" w:hAnsi="宋体" w:cs="宋体"/>
                <w:szCs w:val="21"/>
              </w:rPr>
              <w:t>1.9.1</w:t>
            </w:r>
          </w:p>
        </w:tc>
        <w:tc>
          <w:tcPr>
            <w:tcW w:w="1929" w:type="dxa"/>
            <w:noWrap/>
            <w:vAlign w:val="center"/>
          </w:tcPr>
          <w:p w14:paraId="0FDB82F1">
            <w:pPr>
              <w:keepLines/>
              <w:spacing w:line="360" w:lineRule="exact"/>
              <w:jc w:val="center"/>
              <w:rPr>
                <w:rFonts w:ascii="宋体" w:hAnsi="宋体" w:cs="宋体"/>
                <w:b/>
                <w:szCs w:val="21"/>
              </w:rPr>
            </w:pPr>
            <w:r>
              <w:rPr>
                <w:rFonts w:hint="eastAsia" w:ascii="宋体" w:hAnsi="宋体" w:cs="宋体"/>
                <w:kern w:val="0"/>
                <w:szCs w:val="21"/>
              </w:rPr>
              <w:t>踏勘现场</w:t>
            </w:r>
          </w:p>
        </w:tc>
        <w:tc>
          <w:tcPr>
            <w:tcW w:w="6889" w:type="dxa"/>
            <w:noWrap/>
            <w:vAlign w:val="center"/>
          </w:tcPr>
          <w:p w14:paraId="5493A431">
            <w:pPr>
              <w:keepLines/>
              <w:autoSpaceDE w:val="0"/>
              <w:autoSpaceDN w:val="0"/>
              <w:adjustRightInd w:val="0"/>
              <w:spacing w:line="320" w:lineRule="exact"/>
              <w:ind w:left="105" w:leftChars="50" w:right="105" w:rightChars="50"/>
              <w:jc w:val="left"/>
              <w:rPr>
                <w:rFonts w:ascii="宋体" w:hAnsi="宋体" w:cs="宋体"/>
                <w:b/>
                <w:szCs w:val="21"/>
                <w:u w:val="single"/>
              </w:rPr>
            </w:pPr>
            <w:r>
              <w:rPr>
                <w:rFonts w:hint="eastAsia" w:ascii="宋体" w:hAnsi="宋体" w:cs="宋体"/>
                <w:szCs w:val="21"/>
              </w:rPr>
              <w:t>投标人自行踏勘现场，费用自理</w:t>
            </w:r>
          </w:p>
        </w:tc>
      </w:tr>
      <w:tr w14:paraId="282D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exact"/>
          <w:jc w:val="center"/>
        </w:trPr>
        <w:tc>
          <w:tcPr>
            <w:tcW w:w="900" w:type="dxa"/>
            <w:noWrap/>
            <w:vAlign w:val="center"/>
          </w:tcPr>
          <w:p w14:paraId="7F1D07C1">
            <w:pPr>
              <w:keepLines/>
              <w:spacing w:line="360" w:lineRule="exact"/>
              <w:jc w:val="center"/>
              <w:rPr>
                <w:rFonts w:ascii="宋体" w:hAnsi="宋体" w:cs="宋体"/>
                <w:szCs w:val="21"/>
              </w:rPr>
            </w:pPr>
            <w:r>
              <w:rPr>
                <w:rFonts w:hint="eastAsia" w:ascii="宋体" w:hAnsi="宋体" w:cs="宋体"/>
                <w:szCs w:val="21"/>
              </w:rPr>
              <w:t>2.1</w:t>
            </w:r>
          </w:p>
        </w:tc>
        <w:tc>
          <w:tcPr>
            <w:tcW w:w="1929" w:type="dxa"/>
            <w:noWrap/>
            <w:vAlign w:val="center"/>
          </w:tcPr>
          <w:p w14:paraId="05D16EA0">
            <w:pPr>
              <w:keepLines/>
              <w:spacing w:line="360" w:lineRule="exact"/>
              <w:jc w:val="center"/>
              <w:rPr>
                <w:rFonts w:ascii="宋体" w:hAnsi="宋体" w:cs="宋体"/>
                <w:kern w:val="0"/>
                <w:szCs w:val="21"/>
              </w:rPr>
            </w:pPr>
            <w:r>
              <w:rPr>
                <w:rFonts w:hint="eastAsia" w:ascii="宋体" w:hAnsi="宋体" w:cs="宋体"/>
                <w:kern w:val="0"/>
                <w:szCs w:val="21"/>
              </w:rPr>
              <w:t>招标文件的组成</w:t>
            </w:r>
          </w:p>
        </w:tc>
        <w:tc>
          <w:tcPr>
            <w:tcW w:w="6889" w:type="dxa"/>
            <w:noWrap/>
            <w:vAlign w:val="center"/>
          </w:tcPr>
          <w:p w14:paraId="7473A2B7">
            <w:pPr>
              <w:keepLines/>
              <w:spacing w:line="320" w:lineRule="exact"/>
              <w:ind w:left="105" w:leftChars="50" w:right="105" w:rightChars="50"/>
              <w:rPr>
                <w:rFonts w:ascii="宋体" w:hAnsi="宋体" w:cs="宋体"/>
                <w:kern w:val="0"/>
                <w:szCs w:val="21"/>
              </w:rPr>
            </w:pPr>
            <w:r>
              <w:rPr>
                <w:rFonts w:hint="eastAsia" w:ascii="宋体" w:hAnsi="宋体" w:cs="宋体"/>
                <w:kern w:val="0"/>
                <w:szCs w:val="21"/>
              </w:rPr>
              <w:t>招标公告、投标人须知、评标办法、合同条款、投标文件格式</w:t>
            </w:r>
          </w:p>
        </w:tc>
      </w:tr>
      <w:tr w14:paraId="3DC9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exact"/>
          <w:jc w:val="center"/>
        </w:trPr>
        <w:tc>
          <w:tcPr>
            <w:tcW w:w="900" w:type="dxa"/>
            <w:noWrap/>
            <w:vAlign w:val="center"/>
          </w:tcPr>
          <w:p w14:paraId="7C0157CD">
            <w:pPr>
              <w:keepLines/>
              <w:spacing w:line="360" w:lineRule="exact"/>
              <w:jc w:val="center"/>
              <w:rPr>
                <w:rFonts w:ascii="宋体" w:hAnsi="宋体" w:cs="宋体"/>
                <w:szCs w:val="21"/>
              </w:rPr>
            </w:pPr>
            <w:r>
              <w:rPr>
                <w:rFonts w:hint="eastAsia" w:ascii="宋体" w:hAnsi="宋体" w:cs="宋体"/>
                <w:szCs w:val="21"/>
              </w:rPr>
              <w:t>2.2</w:t>
            </w:r>
          </w:p>
        </w:tc>
        <w:tc>
          <w:tcPr>
            <w:tcW w:w="1929" w:type="dxa"/>
            <w:noWrap/>
            <w:vAlign w:val="center"/>
          </w:tcPr>
          <w:p w14:paraId="1B09FA6C">
            <w:pPr>
              <w:keepLines/>
              <w:spacing w:line="360" w:lineRule="exact"/>
              <w:jc w:val="center"/>
              <w:rPr>
                <w:rFonts w:ascii="宋体" w:hAnsi="宋体" w:cs="宋体"/>
                <w:b/>
                <w:szCs w:val="21"/>
              </w:rPr>
            </w:pPr>
            <w:r>
              <w:rPr>
                <w:rFonts w:hint="eastAsia" w:ascii="宋体" w:hAnsi="宋体" w:cs="宋体"/>
                <w:kern w:val="0"/>
                <w:szCs w:val="21"/>
              </w:rPr>
              <w:t>澄清和答疑</w:t>
            </w:r>
          </w:p>
        </w:tc>
        <w:tc>
          <w:tcPr>
            <w:tcW w:w="6889" w:type="dxa"/>
            <w:noWrap/>
            <w:vAlign w:val="center"/>
          </w:tcPr>
          <w:p w14:paraId="78F5EEEA">
            <w:pPr>
              <w:keepLines/>
              <w:spacing w:line="360" w:lineRule="exact"/>
              <w:ind w:left="105" w:leftChars="50" w:right="105" w:rightChars="50"/>
              <w:rPr>
                <w:rFonts w:ascii="宋体" w:hAnsi="宋体" w:cs="宋体"/>
                <w:szCs w:val="21"/>
                <w:u w:val="single"/>
              </w:rPr>
            </w:pPr>
            <w:r>
              <w:rPr>
                <w:rFonts w:hint="eastAsia" w:ascii="宋体" w:hAnsi="宋体" w:cs="宋体"/>
                <w:szCs w:val="21"/>
              </w:rPr>
              <w:t>投标人要求澄清招标文件的截止时间：</w:t>
            </w:r>
            <w:r>
              <w:rPr>
                <w:rFonts w:hint="eastAsia" w:ascii="宋体" w:hAnsi="宋体" w:cs="宋体"/>
                <w:szCs w:val="21"/>
                <w:u w:val="single"/>
              </w:rPr>
              <w:t xml:space="preserve"> 2026</w:t>
            </w:r>
            <w:r>
              <w:rPr>
                <w:rFonts w:hint="eastAsia" w:ascii="宋体" w:hAnsi="宋体" w:cs="宋体"/>
                <w:szCs w:val="21"/>
              </w:rPr>
              <w:t>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31</w:t>
            </w:r>
            <w:r>
              <w:rPr>
                <w:rFonts w:hint="eastAsia" w:ascii="宋体" w:hAnsi="宋体" w:cs="宋体"/>
                <w:szCs w:val="21"/>
              </w:rPr>
              <w:t>日17：00</w:t>
            </w:r>
          </w:p>
          <w:p w14:paraId="7896436A">
            <w:pPr>
              <w:keepLines/>
              <w:spacing w:line="360" w:lineRule="exact"/>
              <w:ind w:left="105" w:leftChars="50" w:right="105" w:rightChars="50"/>
              <w:rPr>
                <w:rFonts w:ascii="宋体" w:hAnsi="宋体" w:cs="宋体"/>
                <w:szCs w:val="21"/>
              </w:rPr>
            </w:pPr>
            <w:r>
              <w:rPr>
                <w:rFonts w:hint="eastAsia" w:ascii="宋体" w:hAnsi="宋体" w:cs="宋体"/>
                <w:szCs w:val="21"/>
              </w:rPr>
              <w:t>方式：发送至招标代理邮箱</w:t>
            </w:r>
            <w:r>
              <w:fldChar w:fldCharType="begin"/>
            </w:r>
            <w:r>
              <w:instrText xml:space="preserve"> HYPERLINK "mailto:285487554@qq.com" </w:instrText>
            </w:r>
            <w:r>
              <w:fldChar w:fldCharType="separate"/>
            </w:r>
            <w:r>
              <w:rPr>
                <w:rStyle w:val="25"/>
                <w:rFonts w:hint="eastAsia" w:ascii="宋体" w:hAnsi="宋体" w:cs="宋体"/>
                <w:szCs w:val="21"/>
              </w:rPr>
              <w:t>285487554@qq.com</w:t>
            </w:r>
            <w:r>
              <w:rPr>
                <w:rStyle w:val="25"/>
                <w:rFonts w:hint="eastAsia" w:ascii="宋体" w:hAnsi="宋体" w:cs="宋体"/>
                <w:szCs w:val="21"/>
              </w:rPr>
              <w:fldChar w:fldCharType="end"/>
            </w:r>
          </w:p>
          <w:p w14:paraId="3A8E6BD7">
            <w:pPr>
              <w:keepLines/>
              <w:spacing w:line="360" w:lineRule="exact"/>
              <w:ind w:left="105" w:leftChars="50" w:right="105" w:rightChars="50"/>
              <w:rPr>
                <w:rFonts w:ascii="宋体" w:hAnsi="宋体" w:cs="宋体"/>
                <w:szCs w:val="21"/>
                <w:u w:val="single"/>
              </w:rPr>
            </w:pPr>
            <w:r>
              <w:rPr>
                <w:rFonts w:hint="eastAsia" w:ascii="宋体" w:hAnsi="宋体" w:cs="宋体"/>
                <w:szCs w:val="21"/>
              </w:rPr>
              <w:t>招标文件澄清发布时间：</w:t>
            </w:r>
            <w:r>
              <w:rPr>
                <w:rFonts w:hint="eastAsia" w:ascii="宋体" w:hAnsi="宋体" w:cs="宋体"/>
                <w:szCs w:val="21"/>
                <w:u w:val="single"/>
              </w:rPr>
              <w:t xml:space="preserve"> 2026</w:t>
            </w:r>
            <w:r>
              <w:rPr>
                <w:rFonts w:hint="eastAsia" w:ascii="宋体" w:hAnsi="宋体" w:cs="宋体"/>
                <w:szCs w:val="21"/>
              </w:rPr>
              <w:t>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1</w:t>
            </w:r>
            <w:r>
              <w:rPr>
                <w:rFonts w:hint="eastAsia" w:ascii="宋体" w:hAnsi="宋体" w:cs="宋体"/>
                <w:szCs w:val="21"/>
              </w:rPr>
              <w:t>日24：00</w:t>
            </w:r>
          </w:p>
          <w:p w14:paraId="158CDDB7">
            <w:pPr>
              <w:keepLines/>
              <w:spacing w:line="360" w:lineRule="exact"/>
              <w:ind w:left="105" w:leftChars="50" w:right="105" w:rightChars="50"/>
              <w:rPr>
                <w:rFonts w:ascii="宋体" w:hAnsi="宋体" w:cs="宋体"/>
                <w:b/>
                <w:szCs w:val="21"/>
              </w:rPr>
            </w:pPr>
            <w:r>
              <w:rPr>
                <w:rFonts w:hint="eastAsia" w:ascii="宋体" w:hAnsi="宋体" w:cs="宋体"/>
                <w:b/>
                <w:szCs w:val="21"/>
              </w:rPr>
              <w:t>方式：网上发布</w:t>
            </w:r>
          </w:p>
        </w:tc>
      </w:tr>
      <w:tr w14:paraId="30AC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exact"/>
          <w:jc w:val="center"/>
        </w:trPr>
        <w:tc>
          <w:tcPr>
            <w:tcW w:w="900" w:type="dxa"/>
            <w:noWrap/>
            <w:vAlign w:val="center"/>
          </w:tcPr>
          <w:p w14:paraId="2B7B79EB">
            <w:pPr>
              <w:keepLines/>
              <w:spacing w:line="360" w:lineRule="exact"/>
              <w:jc w:val="center"/>
              <w:rPr>
                <w:rFonts w:ascii="宋体" w:hAnsi="宋体" w:cs="宋体"/>
                <w:szCs w:val="21"/>
              </w:rPr>
            </w:pPr>
            <w:r>
              <w:rPr>
                <w:rFonts w:hint="eastAsia" w:ascii="宋体" w:hAnsi="宋体" w:cs="宋体"/>
                <w:szCs w:val="21"/>
              </w:rPr>
              <w:t>2.4</w:t>
            </w:r>
          </w:p>
        </w:tc>
        <w:tc>
          <w:tcPr>
            <w:tcW w:w="1929" w:type="dxa"/>
            <w:noWrap/>
            <w:vAlign w:val="center"/>
          </w:tcPr>
          <w:p w14:paraId="5DC31E74">
            <w:pPr>
              <w:keepLines/>
              <w:spacing w:line="360" w:lineRule="exact"/>
              <w:jc w:val="center"/>
              <w:rPr>
                <w:rFonts w:ascii="宋体" w:hAnsi="宋体" w:cs="宋体"/>
                <w:kern w:val="0"/>
                <w:szCs w:val="21"/>
              </w:rPr>
            </w:pPr>
            <w:r>
              <w:rPr>
                <w:rFonts w:hint="eastAsia" w:ascii="宋体" w:hAnsi="宋体" w:cs="宋体"/>
                <w:kern w:val="0"/>
                <w:szCs w:val="21"/>
              </w:rPr>
              <w:t>招标控制价</w:t>
            </w:r>
          </w:p>
        </w:tc>
        <w:tc>
          <w:tcPr>
            <w:tcW w:w="6889" w:type="dxa"/>
            <w:noWrap/>
            <w:vAlign w:val="center"/>
          </w:tcPr>
          <w:p w14:paraId="08389431">
            <w:pPr>
              <w:keepLines/>
              <w:spacing w:line="320" w:lineRule="exact"/>
              <w:rPr>
                <w:rFonts w:ascii="宋体" w:hAnsi="宋体" w:cs="宋体"/>
                <w:b/>
                <w:bCs/>
                <w:color w:val="0C0C0C" w:themeColor="text1" w:themeTint="F2"/>
                <w:kern w:val="0"/>
                <w:szCs w:val="21"/>
              </w:rPr>
            </w:pPr>
            <w:r>
              <w:rPr>
                <w:rFonts w:hint="eastAsia" w:ascii="宋体" w:hAnsi="宋体" w:cs="宋体"/>
                <w:b/>
                <w:bCs/>
                <w:color w:val="0C0C0C" w:themeColor="text1" w:themeTint="F2"/>
                <w:kern w:val="0"/>
                <w:szCs w:val="21"/>
              </w:rPr>
              <w:t>财政概算建安费</w:t>
            </w:r>
            <w:r>
              <w:rPr>
                <w:rFonts w:ascii="Arial" w:hAnsi="Arial" w:cs="Arial"/>
                <w:b/>
                <w:bCs/>
                <w:color w:val="0C0C0C" w:themeColor="text1" w:themeTint="F2"/>
                <w:kern w:val="0"/>
                <w:szCs w:val="21"/>
              </w:rPr>
              <w:t>×</w:t>
            </w:r>
            <w:r>
              <w:rPr>
                <w:rFonts w:hint="eastAsia" w:ascii="宋体" w:hAnsi="宋体" w:cs="宋体"/>
                <w:b/>
                <w:bCs/>
                <w:color w:val="0C0C0C" w:themeColor="text1" w:themeTint="F2"/>
                <w:kern w:val="0"/>
                <w:szCs w:val="21"/>
              </w:rPr>
              <w:t>1.</w:t>
            </w:r>
            <w:r>
              <w:rPr>
                <w:rFonts w:hint="eastAsia" w:ascii="宋体" w:hAnsi="宋体" w:cs="宋体"/>
                <w:b/>
                <w:bCs/>
                <w:color w:val="0C0C0C" w:themeColor="text1" w:themeTint="F2"/>
                <w:kern w:val="0"/>
                <w:szCs w:val="21"/>
                <w:lang w:val="en-US" w:eastAsia="zh-CN"/>
              </w:rPr>
              <w:t>27</w:t>
            </w:r>
            <w:r>
              <w:rPr>
                <w:rFonts w:hint="eastAsia" w:ascii="宋体" w:hAnsi="宋体" w:cs="宋体"/>
                <w:b/>
                <w:bCs/>
                <w:color w:val="0C0C0C" w:themeColor="text1" w:themeTint="F2"/>
                <w:kern w:val="0"/>
                <w:szCs w:val="21"/>
              </w:rPr>
              <w:t>%。</w:t>
            </w:r>
          </w:p>
          <w:p w14:paraId="5F984C28">
            <w:pPr>
              <w:spacing w:line="360" w:lineRule="exact"/>
              <w:rPr>
                <w:rFonts w:ascii="宋体" w:hAnsi="宋体"/>
                <w:b/>
                <w:color w:val="0C0C0C" w:themeColor="text1" w:themeTint="F2"/>
                <w:kern w:val="0"/>
                <w:szCs w:val="21"/>
              </w:rPr>
            </w:pPr>
            <w:r>
              <w:rPr>
                <w:rFonts w:hint="eastAsia" w:ascii="宋体" w:hAnsi="宋体"/>
                <w:b/>
                <w:color w:val="0C0C0C" w:themeColor="text1" w:themeTint="F2"/>
                <w:kern w:val="0"/>
                <w:szCs w:val="21"/>
              </w:rPr>
              <w:t>报价说明：投标报价（费率）的小数点后最多保留2位小数。例如，投标报价（费率）可以填报为1.28%或1.30%，但不得填报为1.288%或1.300%，否则，作否决投标处理。</w:t>
            </w:r>
          </w:p>
          <w:p w14:paraId="0852D5E6">
            <w:pPr>
              <w:keepLines/>
              <w:spacing w:line="320" w:lineRule="exact"/>
              <w:rPr>
                <w:rFonts w:ascii="宋体" w:hAnsi="宋体" w:cs="宋体"/>
                <w:kern w:val="0"/>
                <w:szCs w:val="21"/>
              </w:rPr>
            </w:pPr>
          </w:p>
        </w:tc>
      </w:tr>
      <w:tr w14:paraId="6AAE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2" w:hRule="exact"/>
          <w:jc w:val="center"/>
        </w:trPr>
        <w:tc>
          <w:tcPr>
            <w:tcW w:w="900" w:type="dxa"/>
            <w:noWrap/>
            <w:vAlign w:val="center"/>
          </w:tcPr>
          <w:p w14:paraId="3D174246">
            <w:pPr>
              <w:keepLines/>
              <w:spacing w:line="360" w:lineRule="exact"/>
              <w:jc w:val="center"/>
              <w:rPr>
                <w:rFonts w:ascii="宋体" w:hAnsi="宋体" w:cs="宋体"/>
                <w:szCs w:val="21"/>
              </w:rPr>
            </w:pPr>
            <w:r>
              <w:rPr>
                <w:rFonts w:hint="eastAsia" w:ascii="宋体" w:hAnsi="宋体" w:cs="宋体"/>
                <w:szCs w:val="21"/>
              </w:rPr>
              <w:t>3.1</w:t>
            </w:r>
          </w:p>
        </w:tc>
        <w:tc>
          <w:tcPr>
            <w:tcW w:w="1929" w:type="dxa"/>
            <w:noWrap/>
            <w:vAlign w:val="center"/>
          </w:tcPr>
          <w:p w14:paraId="73F4AB3F">
            <w:pPr>
              <w:keepLines/>
              <w:spacing w:line="360" w:lineRule="exact"/>
              <w:jc w:val="center"/>
              <w:rPr>
                <w:rFonts w:ascii="宋体" w:hAnsi="宋体" w:cs="宋体"/>
                <w:b/>
                <w:szCs w:val="21"/>
              </w:rPr>
            </w:pPr>
            <w:r>
              <w:rPr>
                <w:rFonts w:hint="eastAsia" w:ascii="宋体" w:hAnsi="宋体" w:cs="宋体"/>
                <w:kern w:val="0"/>
                <w:szCs w:val="21"/>
              </w:rPr>
              <w:t>投标文件的组成</w:t>
            </w:r>
          </w:p>
        </w:tc>
        <w:tc>
          <w:tcPr>
            <w:tcW w:w="6889" w:type="dxa"/>
            <w:noWrap/>
            <w:vAlign w:val="center"/>
          </w:tcPr>
          <w:p w14:paraId="55DFB3A4">
            <w:pPr>
              <w:keepLines/>
              <w:spacing w:line="360" w:lineRule="exact"/>
              <w:rPr>
                <w:rFonts w:cs="宋体" w:asciiTheme="minorEastAsia" w:hAnsiTheme="minorEastAsia" w:eastAsiaTheme="minorEastAsia"/>
                <w:szCs w:val="21"/>
              </w:rPr>
            </w:pPr>
            <w:r>
              <w:rPr>
                <w:rFonts w:hint="eastAsia" w:cs="宋体" w:asciiTheme="minorEastAsia" w:hAnsiTheme="minorEastAsia" w:eastAsiaTheme="minorEastAsia"/>
                <w:szCs w:val="21"/>
              </w:rPr>
              <w:t>投标文件由资格审查文件、综合标、经济标组成。</w:t>
            </w:r>
          </w:p>
          <w:p w14:paraId="0A4AA821">
            <w:pPr>
              <w:keepLines/>
              <w:spacing w:line="360" w:lineRule="exact"/>
              <w:rPr>
                <w:rFonts w:cs="宋体" w:asciiTheme="minorEastAsia" w:hAnsiTheme="minorEastAsia" w:eastAsiaTheme="minorEastAsia"/>
                <w:szCs w:val="21"/>
              </w:rPr>
            </w:pPr>
            <w:r>
              <w:rPr>
                <w:rFonts w:hint="eastAsia" w:cs="宋体" w:asciiTheme="minorEastAsia" w:hAnsiTheme="minorEastAsia" w:eastAsiaTheme="minorEastAsia"/>
                <w:szCs w:val="21"/>
              </w:rPr>
              <w:t>1、资格审查文件</w:t>
            </w:r>
          </w:p>
          <w:p w14:paraId="66AFBB42">
            <w:pPr>
              <w:pStyle w:val="36"/>
              <w:keepLines/>
              <w:numPr>
                <w:ilvl w:val="0"/>
                <w:numId w:val="4"/>
              </w:numPr>
              <w:spacing w:line="360" w:lineRule="exact"/>
              <w:ind w:left="0" w:firstLineChars="0"/>
              <w:rPr>
                <w:rFonts w:asciiTheme="minorEastAsia" w:hAnsiTheme="minorEastAsia" w:eastAsiaTheme="minorEastAsia"/>
              </w:rPr>
            </w:pPr>
            <w:r>
              <w:rPr>
                <w:rFonts w:hint="eastAsia" w:cs="宋体" w:asciiTheme="minorEastAsia" w:hAnsiTheme="minorEastAsia" w:eastAsiaTheme="minorEastAsia"/>
                <w:szCs w:val="21"/>
              </w:rPr>
              <w:t>（1）法定代表人身份证明书及授权委托书（如</w:t>
            </w:r>
            <w:r>
              <w:rPr>
                <w:rFonts w:hint="eastAsia" w:cs="宋体" w:asciiTheme="minorEastAsia" w:hAnsiTheme="minorEastAsia" w:eastAsiaTheme="minorEastAsia"/>
                <w:szCs w:val="21"/>
                <w:lang w:val="en-US" w:eastAsia="zh-CN"/>
              </w:rPr>
              <w:t>有</w:t>
            </w:r>
            <w:r>
              <w:rPr>
                <w:rFonts w:hint="eastAsia" w:cs="宋体" w:asciiTheme="minorEastAsia" w:hAnsiTheme="minorEastAsia" w:eastAsiaTheme="minorEastAsia"/>
                <w:szCs w:val="21"/>
              </w:rPr>
              <w:t>）；</w:t>
            </w:r>
          </w:p>
          <w:p w14:paraId="69FDA83B">
            <w:pPr>
              <w:pStyle w:val="36"/>
              <w:keepLines/>
              <w:numPr>
                <w:ilvl w:val="0"/>
                <w:numId w:val="4"/>
              </w:numPr>
              <w:spacing w:line="360" w:lineRule="exact"/>
              <w:ind w:left="0" w:firstLineChars="0"/>
              <w:rPr>
                <w:rFonts w:asciiTheme="minorEastAsia" w:hAnsiTheme="minorEastAsia" w:eastAsiaTheme="minorEastAsia"/>
              </w:rPr>
            </w:pPr>
            <w:r>
              <w:rPr>
                <w:rFonts w:hint="eastAsia" w:asciiTheme="minorEastAsia" w:hAnsiTheme="minorEastAsia" w:eastAsiaTheme="minorEastAsia"/>
              </w:rPr>
              <w:t>（2）投标人营业执照；</w:t>
            </w:r>
          </w:p>
          <w:p w14:paraId="598ED388">
            <w:pPr>
              <w:pStyle w:val="36"/>
              <w:keepLines/>
              <w:numPr>
                <w:ilvl w:val="0"/>
                <w:numId w:val="4"/>
              </w:numPr>
              <w:spacing w:line="360" w:lineRule="exact"/>
              <w:ind w:left="0" w:firstLineChars="0"/>
              <w:rPr>
                <w:rFonts w:cs="宋体" w:asciiTheme="minorEastAsia" w:hAnsiTheme="minorEastAsia" w:eastAsiaTheme="minorEastAsia"/>
                <w:szCs w:val="21"/>
              </w:rPr>
            </w:pPr>
            <w:r>
              <w:rPr>
                <w:rFonts w:hint="eastAsia" w:cs="宋体" w:asciiTheme="minorEastAsia" w:hAnsiTheme="minorEastAsia" w:eastAsiaTheme="minorEastAsia"/>
                <w:szCs w:val="21"/>
              </w:rPr>
              <w:t>（3）投标人资质证明材料；</w:t>
            </w:r>
          </w:p>
          <w:p w14:paraId="5B918F0C">
            <w:pPr>
              <w:pStyle w:val="36"/>
              <w:keepLines/>
              <w:numPr>
                <w:ilvl w:val="0"/>
                <w:numId w:val="4"/>
              </w:numPr>
              <w:spacing w:line="360" w:lineRule="exact"/>
              <w:ind w:left="0" w:firstLineChars="0"/>
              <w:rPr>
                <w:rFonts w:cs="宋体" w:asciiTheme="minorEastAsia" w:hAnsiTheme="minorEastAsia" w:eastAsiaTheme="minorEastAsia"/>
                <w:szCs w:val="21"/>
              </w:rPr>
            </w:pPr>
            <w:r>
              <w:rPr>
                <w:rFonts w:hint="eastAsia" w:ascii="宋体" w:hAnsi="宋体"/>
                <w:szCs w:val="21"/>
              </w:rPr>
              <w:t>（4）拟派总监国家注册监理工程师证书</w:t>
            </w:r>
            <w:r>
              <w:rPr>
                <w:rFonts w:hint="eastAsia" w:cs="宋体" w:asciiTheme="minorEastAsia" w:hAnsiTheme="minorEastAsia" w:eastAsiaTheme="minorEastAsia"/>
                <w:szCs w:val="21"/>
              </w:rPr>
              <w:t>；</w:t>
            </w:r>
          </w:p>
          <w:p w14:paraId="143CB959">
            <w:pPr>
              <w:pStyle w:val="36"/>
              <w:keepLines/>
              <w:numPr>
                <w:ilvl w:val="0"/>
                <w:numId w:val="4"/>
              </w:numPr>
              <w:spacing w:line="360" w:lineRule="exact"/>
              <w:ind w:left="0" w:firstLineChars="0"/>
              <w:rPr>
                <w:rFonts w:cs="宋体" w:asciiTheme="minorEastAsia" w:hAnsiTheme="minorEastAsia" w:eastAsiaTheme="minorEastAsia"/>
                <w:szCs w:val="21"/>
              </w:rPr>
            </w:pPr>
            <w:r>
              <w:rPr>
                <w:rFonts w:hint="eastAsia" w:ascii="宋体" w:hAnsi="宋体"/>
                <w:kern w:val="0"/>
              </w:rPr>
              <w:t>（5）拟派监理组组成人员的相关证书及相关证明材料</w:t>
            </w:r>
            <w:r>
              <w:rPr>
                <w:rFonts w:hint="eastAsia" w:cs="宋体" w:asciiTheme="minorEastAsia" w:hAnsiTheme="minorEastAsia" w:eastAsiaTheme="minorEastAsia"/>
                <w:szCs w:val="21"/>
              </w:rPr>
              <w:t>；</w:t>
            </w:r>
          </w:p>
          <w:p w14:paraId="54A741C1">
            <w:pPr>
              <w:pStyle w:val="36"/>
              <w:keepLines/>
              <w:numPr>
                <w:ilvl w:val="0"/>
                <w:numId w:val="4"/>
              </w:numPr>
              <w:spacing w:line="360" w:lineRule="exact"/>
              <w:ind w:left="0" w:firstLineChars="0"/>
              <w:rPr>
                <w:rFonts w:cs="宋体" w:asciiTheme="minorEastAsia" w:hAnsiTheme="minorEastAsia" w:eastAsiaTheme="minorEastAsia"/>
                <w:szCs w:val="21"/>
              </w:rPr>
            </w:pPr>
            <w:r>
              <w:rPr>
                <w:rFonts w:hint="eastAsia" w:ascii="宋体" w:hAnsi="宋体"/>
                <w:szCs w:val="21"/>
              </w:rPr>
              <w:t>（6）拟派授权委托人</w:t>
            </w:r>
            <w:r>
              <w:rPr>
                <w:rFonts w:hint="eastAsia" w:ascii="宋体" w:hAnsi="宋体"/>
                <w:szCs w:val="21"/>
                <w:lang w:eastAsia="zh-CN"/>
              </w:rPr>
              <w:t>、</w:t>
            </w:r>
            <w:r>
              <w:rPr>
                <w:rFonts w:hint="eastAsia" w:ascii="宋体" w:hAnsi="宋体"/>
                <w:szCs w:val="21"/>
              </w:rPr>
              <w:t>总监</w:t>
            </w:r>
            <w:r>
              <w:rPr>
                <w:rFonts w:hint="eastAsia" w:ascii="宋体" w:hAnsi="宋体"/>
                <w:szCs w:val="21"/>
                <w:lang w:eastAsia="zh-CN"/>
              </w:rPr>
              <w:t>、</w:t>
            </w:r>
            <w:r>
              <w:rPr>
                <w:rFonts w:hint="eastAsia" w:ascii="宋体" w:hAnsi="宋体"/>
                <w:szCs w:val="21"/>
                <w:lang w:val="en-US" w:eastAsia="zh-CN"/>
              </w:rPr>
              <w:t>专业监理工程师及监理员</w:t>
            </w:r>
            <w:r>
              <w:rPr>
                <w:rFonts w:hint="eastAsia" w:ascii="宋体" w:hAnsi="宋体"/>
                <w:szCs w:val="21"/>
              </w:rPr>
              <w:t>有效劳动合同，投标企业出具的由企业为拟派授权委托人</w:t>
            </w:r>
            <w:r>
              <w:rPr>
                <w:rFonts w:hint="eastAsia" w:ascii="宋体" w:hAnsi="宋体"/>
                <w:szCs w:val="21"/>
                <w:lang w:eastAsia="zh-CN"/>
              </w:rPr>
              <w:t>、</w:t>
            </w:r>
            <w:r>
              <w:rPr>
                <w:rFonts w:hint="eastAsia" w:ascii="宋体" w:hAnsi="宋体"/>
                <w:szCs w:val="21"/>
              </w:rPr>
              <w:t>总监</w:t>
            </w:r>
            <w:r>
              <w:rPr>
                <w:rFonts w:hint="eastAsia" w:ascii="宋体" w:hAnsi="宋体"/>
                <w:szCs w:val="21"/>
                <w:lang w:eastAsia="zh-CN"/>
              </w:rPr>
              <w:t>、</w:t>
            </w:r>
            <w:r>
              <w:rPr>
                <w:rFonts w:hint="eastAsia" w:ascii="宋体" w:hAnsi="宋体"/>
                <w:szCs w:val="21"/>
                <w:lang w:val="en-US" w:eastAsia="zh-CN"/>
              </w:rPr>
              <w:t>专业监理工程师及监理员</w:t>
            </w:r>
            <w:r>
              <w:rPr>
                <w:rFonts w:hint="eastAsia" w:ascii="宋体" w:hAnsi="宋体"/>
                <w:szCs w:val="21"/>
              </w:rPr>
              <w:t>缴纳的投标截止之日（不含当月）前三个月中任意一个月的养老保险缴费证明；</w:t>
            </w:r>
          </w:p>
          <w:p w14:paraId="76EB22AC">
            <w:pPr>
              <w:pStyle w:val="36"/>
              <w:keepLines/>
              <w:numPr>
                <w:ilvl w:val="0"/>
                <w:numId w:val="4"/>
              </w:numPr>
              <w:spacing w:line="360" w:lineRule="exact"/>
              <w:ind w:left="0" w:firstLineChars="0"/>
              <w:rPr>
                <w:rFonts w:cs="宋体" w:asciiTheme="minorEastAsia" w:hAnsiTheme="minorEastAsia" w:eastAsiaTheme="minorEastAsia"/>
                <w:szCs w:val="21"/>
              </w:rPr>
            </w:pPr>
            <w:r>
              <w:rPr>
                <w:rFonts w:hint="eastAsia" w:cs="宋体" w:asciiTheme="minorEastAsia" w:hAnsiTheme="minorEastAsia" w:eastAsiaTheme="minorEastAsia"/>
                <w:szCs w:val="21"/>
              </w:rPr>
              <w:t>（7）投标人诚信承诺书；</w:t>
            </w:r>
          </w:p>
          <w:p w14:paraId="05CC78C4">
            <w:pPr>
              <w:keepNext w:val="0"/>
              <w:keepLines w:val="0"/>
              <w:pageBreakBefore w:val="0"/>
              <w:widowControl/>
              <w:kinsoku/>
              <w:wordWrap/>
              <w:overflowPunct/>
              <w:topLinePunct w:val="0"/>
              <w:autoSpaceDE w:val="0"/>
              <w:autoSpaceDN/>
              <w:bidi w:val="0"/>
              <w:adjustRightInd/>
              <w:snapToGrid/>
              <w:spacing w:line="360" w:lineRule="exact"/>
              <w:ind w:right="0" w:rightChars="0"/>
              <w:jc w:val="both"/>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8</w:t>
            </w:r>
            <w:r>
              <w:rPr>
                <w:rFonts w:hint="eastAsia" w:cs="宋体" w:asciiTheme="minorEastAsia" w:hAnsiTheme="minorEastAsia" w:eastAsiaTheme="minorEastAsia"/>
                <w:szCs w:val="21"/>
                <w:lang w:eastAsia="zh-CN"/>
              </w:rPr>
              <w:t>）</w:t>
            </w:r>
            <w:r>
              <w:rPr>
                <w:rFonts w:hint="eastAsia"/>
                <w:b w:val="0"/>
                <w:bCs/>
                <w:color w:val="000000"/>
                <w:sz w:val="21"/>
                <w:szCs w:val="21"/>
                <w:highlight w:val="none"/>
                <w:lang w:eastAsia="zh-CN"/>
              </w:rPr>
              <w:t>拟派总监在监工程</w:t>
            </w:r>
            <w:r>
              <w:rPr>
                <w:rFonts w:hint="eastAsia"/>
                <w:b w:val="0"/>
                <w:bCs/>
                <w:color w:val="000000"/>
                <w:sz w:val="21"/>
                <w:szCs w:val="21"/>
                <w:highlight w:val="none"/>
                <w:lang w:val="en-US" w:eastAsia="zh-CN"/>
              </w:rPr>
              <w:t>要求。</w:t>
            </w:r>
          </w:p>
          <w:p w14:paraId="40D89C01">
            <w:pPr>
              <w:keepLines/>
              <w:spacing w:line="360" w:lineRule="exact"/>
              <w:rPr>
                <w:rFonts w:ascii="宋体" w:hAnsi="宋体"/>
                <w:szCs w:val="21"/>
              </w:rPr>
            </w:pPr>
            <w:r>
              <w:rPr>
                <w:rFonts w:hint="eastAsia" w:ascii="宋体" w:hAnsi="宋体"/>
                <w:szCs w:val="21"/>
              </w:rPr>
              <w:t>2、综合标</w:t>
            </w:r>
          </w:p>
          <w:p w14:paraId="5A97C6AD">
            <w:pPr>
              <w:keepLines/>
              <w:spacing w:line="360" w:lineRule="exact"/>
              <w:rPr>
                <w:rFonts w:hint="eastAsia" w:ascii="宋体" w:hAnsi="宋体" w:eastAsia="宋体"/>
                <w:szCs w:val="21"/>
                <w:lang w:val="en-US" w:eastAsia="zh-CN"/>
              </w:rPr>
            </w:pPr>
            <w:r>
              <w:rPr>
                <w:rFonts w:hint="eastAsia" w:ascii="宋体" w:hAnsi="宋体"/>
                <w:szCs w:val="21"/>
              </w:rPr>
              <w:t>（</w:t>
            </w:r>
            <w:r>
              <w:rPr>
                <w:rFonts w:hint="eastAsia" w:ascii="宋体" w:hAnsi="宋体"/>
                <w:szCs w:val="21"/>
                <w:lang w:val="en-US" w:eastAsia="zh-CN"/>
              </w:rPr>
              <w:t>1</w:t>
            </w:r>
            <w:r>
              <w:rPr>
                <w:rFonts w:hint="eastAsia" w:ascii="宋体" w:hAnsi="宋体"/>
                <w:szCs w:val="21"/>
              </w:rPr>
              <w:t>）项目管理机构</w:t>
            </w:r>
            <w:r>
              <w:rPr>
                <w:rFonts w:hint="eastAsia" w:ascii="宋体" w:hAnsi="宋体"/>
                <w:szCs w:val="21"/>
                <w:lang w:val="en-US" w:eastAsia="zh-CN"/>
              </w:rPr>
              <w:t>；</w:t>
            </w:r>
          </w:p>
          <w:p w14:paraId="06F24817">
            <w:pPr>
              <w:keepLines/>
              <w:spacing w:line="360" w:lineRule="exact"/>
              <w:rPr>
                <w:rFonts w:hint="eastAsia" w:ascii="宋体" w:hAnsi="宋体" w:eastAsia="宋体"/>
                <w:szCs w:val="21"/>
                <w:lang w:eastAsia="zh-CN"/>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）业绩</w:t>
            </w:r>
            <w:r>
              <w:rPr>
                <w:rFonts w:hint="eastAsia" w:ascii="宋体" w:hAnsi="宋体"/>
                <w:szCs w:val="21"/>
                <w:lang w:eastAsia="zh-CN"/>
              </w:rPr>
              <w:t>。</w:t>
            </w:r>
          </w:p>
          <w:p w14:paraId="4B0803E1">
            <w:pPr>
              <w:keepLines/>
              <w:spacing w:line="360" w:lineRule="exact"/>
              <w:rPr>
                <w:rFonts w:ascii="宋体" w:hAnsi="宋体" w:cs="宋体"/>
                <w:szCs w:val="21"/>
              </w:rPr>
            </w:pPr>
            <w:r>
              <w:rPr>
                <w:rFonts w:hint="eastAsia" w:ascii="宋体" w:hAnsi="宋体" w:cs="宋体"/>
                <w:szCs w:val="21"/>
              </w:rPr>
              <w:t>3、经济标</w:t>
            </w:r>
          </w:p>
          <w:p w14:paraId="241A0258">
            <w:pPr>
              <w:keepLines/>
              <w:spacing w:line="360" w:lineRule="exact"/>
              <w:rPr>
                <w:rFonts w:ascii="宋体" w:hAnsi="宋体" w:cs="宋体"/>
                <w:szCs w:val="21"/>
              </w:rPr>
            </w:pPr>
            <w:r>
              <w:rPr>
                <w:rFonts w:hint="eastAsia" w:ascii="宋体" w:hAnsi="宋体" w:cs="宋体"/>
                <w:szCs w:val="21"/>
              </w:rPr>
              <w:t>（1）投标函</w:t>
            </w:r>
          </w:p>
          <w:p w14:paraId="220E63F8">
            <w:pPr>
              <w:keepLines/>
              <w:spacing w:line="360" w:lineRule="exact"/>
              <w:rPr>
                <w:rFonts w:cs="宋体" w:asciiTheme="minorEastAsia" w:hAnsiTheme="minorEastAsia" w:eastAsiaTheme="minorEastAsia"/>
                <w:szCs w:val="21"/>
              </w:rPr>
            </w:pPr>
            <w:r>
              <w:rPr>
                <w:rFonts w:hint="eastAsia" w:cs="宋体" w:asciiTheme="minorEastAsia" w:hAnsiTheme="minorEastAsia" w:eastAsiaTheme="minorEastAsia"/>
                <w:szCs w:val="21"/>
              </w:rPr>
              <w:t>备注：</w:t>
            </w:r>
          </w:p>
          <w:p w14:paraId="3BCD4EF6">
            <w:pPr>
              <w:keepLines/>
              <w:spacing w:line="360" w:lineRule="exact"/>
              <w:rPr>
                <w:rFonts w:cs="宋体" w:asciiTheme="minorEastAsia" w:hAnsiTheme="minorEastAsia" w:eastAsiaTheme="minorEastAsia"/>
                <w:szCs w:val="21"/>
              </w:rPr>
            </w:pPr>
            <w:r>
              <w:rPr>
                <w:rFonts w:hint="eastAsia" w:cs="宋体" w:asciiTheme="minorEastAsia" w:hAnsiTheme="minorEastAsia" w:eastAsiaTheme="minorEastAsia"/>
                <w:szCs w:val="21"/>
              </w:rPr>
              <w:t>（1）纸质投标文件（包括资格审查材料、综合标、价格标）【其中正本一份、副本一份，并在（资格审查材料、综合标、价格标）封面上注明“正本”或“副本”字样，当正本与副本不一致时，以正本为准；（资格审查材料、综合标、价格标）封面上还应注明项目名称并加盖投标单位公章、法定代表人签字或印鉴或委托代理人签字】</w:t>
            </w:r>
          </w:p>
          <w:p w14:paraId="7DCA4F38">
            <w:pPr>
              <w:keepLines/>
              <w:spacing w:line="360" w:lineRule="exact"/>
              <w:rPr>
                <w:rFonts w:cs="宋体" w:asciiTheme="minorEastAsia" w:hAnsiTheme="minorEastAsia" w:eastAsiaTheme="minorEastAsia"/>
                <w:szCs w:val="21"/>
              </w:rPr>
            </w:pPr>
            <w:r>
              <w:rPr>
                <w:rFonts w:hint="eastAsia" w:cs="宋体" w:asciiTheme="minorEastAsia" w:hAnsiTheme="minorEastAsia" w:eastAsiaTheme="minorEastAsia"/>
                <w:szCs w:val="21"/>
              </w:rPr>
              <w:t>（2）上述材料按“资格审查材料”、“综合标”、“价格标”三部分分开密封包装，“正本”或“副本”可分开密封，也可统一密封；所有封袋上都应写明招标人名称、项目名称、投标单位名称，并注明 “资格审查材料”或“综合标”或 “价格标”并加盖投标单位公章、法定代表人签字或印鉴或委托代理人签字。</w:t>
            </w:r>
          </w:p>
          <w:p w14:paraId="09A9126C">
            <w:pPr>
              <w:spacing w:line="440" w:lineRule="exact"/>
              <w:ind w:firstLine="482" w:firstLineChars="200"/>
              <w:rPr>
                <w:rFonts w:ascii="宋体" w:hAnsi="宋体" w:cs="宋体"/>
                <w:b/>
                <w:bCs/>
                <w:sz w:val="24"/>
              </w:rPr>
            </w:pPr>
          </w:p>
          <w:p w14:paraId="20A83396">
            <w:pPr>
              <w:pStyle w:val="8"/>
              <w:rPr>
                <w:rFonts w:ascii="宋体" w:hAnsi="宋体" w:cs="宋体"/>
                <w:sz w:val="28"/>
                <w:szCs w:val="28"/>
              </w:rPr>
            </w:pPr>
          </w:p>
        </w:tc>
      </w:tr>
      <w:tr w14:paraId="6366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900" w:type="dxa"/>
            <w:noWrap/>
            <w:vAlign w:val="center"/>
          </w:tcPr>
          <w:p w14:paraId="693427E5">
            <w:pPr>
              <w:keepLines/>
              <w:spacing w:line="360" w:lineRule="exact"/>
              <w:jc w:val="center"/>
              <w:rPr>
                <w:rFonts w:ascii="宋体" w:hAnsi="宋体" w:cs="宋体"/>
                <w:szCs w:val="21"/>
              </w:rPr>
            </w:pPr>
            <w:r>
              <w:rPr>
                <w:rFonts w:hint="eastAsia" w:ascii="宋体" w:hAnsi="宋体" w:cs="宋体"/>
                <w:szCs w:val="21"/>
              </w:rPr>
              <w:t>3.2</w:t>
            </w:r>
          </w:p>
        </w:tc>
        <w:tc>
          <w:tcPr>
            <w:tcW w:w="1929" w:type="dxa"/>
            <w:noWrap/>
            <w:vAlign w:val="center"/>
          </w:tcPr>
          <w:p w14:paraId="04E99884">
            <w:pPr>
              <w:keepLines/>
              <w:spacing w:line="360" w:lineRule="exact"/>
              <w:jc w:val="center"/>
              <w:rPr>
                <w:rFonts w:ascii="宋体" w:hAnsi="宋体" w:cs="宋体"/>
                <w:kern w:val="0"/>
                <w:szCs w:val="21"/>
              </w:rPr>
            </w:pPr>
            <w:r>
              <w:rPr>
                <w:rFonts w:hint="eastAsia" w:ascii="宋体" w:hAnsi="宋体" w:cs="宋体"/>
                <w:kern w:val="0"/>
                <w:szCs w:val="21"/>
              </w:rPr>
              <w:t>投标报价</w:t>
            </w:r>
          </w:p>
        </w:tc>
        <w:tc>
          <w:tcPr>
            <w:tcW w:w="6889" w:type="dxa"/>
            <w:noWrap/>
            <w:vAlign w:val="center"/>
          </w:tcPr>
          <w:p w14:paraId="3BA51DF2">
            <w:pPr>
              <w:keepLines/>
              <w:spacing w:line="320" w:lineRule="exact"/>
              <w:ind w:left="105" w:leftChars="50" w:right="105" w:rightChars="50"/>
              <w:rPr>
                <w:rFonts w:ascii="宋体" w:hAnsi="宋体" w:cs="宋体"/>
                <w:kern w:val="0"/>
                <w:szCs w:val="21"/>
              </w:rPr>
            </w:pPr>
            <w:r>
              <w:rPr>
                <w:rFonts w:hint="eastAsia" w:ascii="宋体" w:hAnsi="宋体" w:cs="宋体"/>
                <w:kern w:val="0"/>
                <w:szCs w:val="21"/>
              </w:rPr>
              <w:t>固定费率</w:t>
            </w:r>
          </w:p>
        </w:tc>
      </w:tr>
      <w:tr w14:paraId="1643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00" w:type="dxa"/>
            <w:noWrap/>
            <w:vAlign w:val="center"/>
          </w:tcPr>
          <w:p w14:paraId="58236BE1">
            <w:pPr>
              <w:keepLines/>
              <w:spacing w:line="360" w:lineRule="exact"/>
              <w:jc w:val="center"/>
              <w:rPr>
                <w:rFonts w:ascii="宋体" w:hAnsi="宋体" w:cs="宋体"/>
                <w:szCs w:val="21"/>
              </w:rPr>
            </w:pPr>
            <w:r>
              <w:rPr>
                <w:rFonts w:hint="eastAsia" w:ascii="宋体" w:hAnsi="宋体" w:cs="宋体"/>
                <w:szCs w:val="21"/>
              </w:rPr>
              <w:t>3.3</w:t>
            </w:r>
          </w:p>
        </w:tc>
        <w:tc>
          <w:tcPr>
            <w:tcW w:w="1929" w:type="dxa"/>
            <w:noWrap/>
            <w:vAlign w:val="center"/>
          </w:tcPr>
          <w:p w14:paraId="34DFF373">
            <w:pPr>
              <w:keepLines/>
              <w:spacing w:line="360" w:lineRule="exact"/>
              <w:jc w:val="center"/>
              <w:rPr>
                <w:rFonts w:ascii="宋体" w:hAnsi="宋体" w:cs="宋体"/>
                <w:szCs w:val="21"/>
              </w:rPr>
            </w:pPr>
            <w:r>
              <w:rPr>
                <w:rFonts w:hint="eastAsia" w:ascii="宋体" w:hAnsi="宋体" w:cs="宋体"/>
                <w:szCs w:val="21"/>
              </w:rPr>
              <w:t>投标有效期</w:t>
            </w:r>
          </w:p>
        </w:tc>
        <w:tc>
          <w:tcPr>
            <w:tcW w:w="6889" w:type="dxa"/>
            <w:noWrap/>
            <w:vAlign w:val="center"/>
          </w:tcPr>
          <w:p w14:paraId="5065DF06">
            <w:pPr>
              <w:keepLines/>
              <w:spacing w:line="320" w:lineRule="exact"/>
              <w:ind w:left="105" w:leftChars="50" w:right="105" w:rightChars="50"/>
              <w:rPr>
                <w:rFonts w:ascii="宋体" w:hAnsi="宋体" w:cs="宋体"/>
                <w:szCs w:val="21"/>
              </w:rPr>
            </w:pPr>
            <w:r>
              <w:rPr>
                <w:rFonts w:hint="eastAsia" w:ascii="宋体" w:hAnsi="宋体" w:cs="宋体"/>
                <w:szCs w:val="21"/>
                <w:u w:val="single"/>
              </w:rPr>
              <w:t xml:space="preserve"> 45 </w:t>
            </w:r>
            <w:r>
              <w:rPr>
                <w:rFonts w:hint="eastAsia" w:ascii="宋体" w:hAnsi="宋体" w:cs="宋体"/>
                <w:szCs w:val="21"/>
              </w:rPr>
              <w:t>日历天</w:t>
            </w:r>
          </w:p>
        </w:tc>
      </w:tr>
      <w:tr w14:paraId="5648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900" w:type="dxa"/>
            <w:noWrap/>
            <w:vAlign w:val="center"/>
          </w:tcPr>
          <w:p w14:paraId="0C08EE60">
            <w:pPr>
              <w:keepLines/>
              <w:spacing w:line="360" w:lineRule="exact"/>
              <w:jc w:val="center"/>
              <w:rPr>
                <w:rFonts w:ascii="宋体" w:hAnsi="宋体" w:cs="宋体"/>
                <w:szCs w:val="21"/>
              </w:rPr>
            </w:pPr>
            <w:r>
              <w:rPr>
                <w:rFonts w:hint="eastAsia" w:ascii="宋体" w:hAnsi="宋体" w:cs="宋体"/>
                <w:szCs w:val="21"/>
              </w:rPr>
              <w:t>3.4</w:t>
            </w:r>
          </w:p>
        </w:tc>
        <w:tc>
          <w:tcPr>
            <w:tcW w:w="1929" w:type="dxa"/>
            <w:noWrap/>
            <w:vAlign w:val="center"/>
          </w:tcPr>
          <w:p w14:paraId="28580C35">
            <w:pPr>
              <w:keepLines/>
              <w:spacing w:line="360" w:lineRule="exact"/>
              <w:jc w:val="center"/>
              <w:rPr>
                <w:rFonts w:ascii="宋体" w:hAnsi="宋体" w:cs="宋体"/>
                <w:szCs w:val="21"/>
              </w:rPr>
            </w:pPr>
            <w:r>
              <w:rPr>
                <w:rFonts w:hint="eastAsia" w:ascii="宋体" w:hAnsi="宋体" w:cs="宋体"/>
                <w:szCs w:val="21"/>
              </w:rPr>
              <w:t>投标保证金</w:t>
            </w:r>
          </w:p>
        </w:tc>
        <w:tc>
          <w:tcPr>
            <w:tcW w:w="6889" w:type="dxa"/>
            <w:noWrap/>
            <w:vAlign w:val="center"/>
          </w:tcPr>
          <w:p w14:paraId="6D085657">
            <w:pPr>
              <w:keepLines/>
              <w:numPr>
                <w:ilvl w:val="0"/>
                <w:numId w:val="5"/>
              </w:numPr>
              <w:adjustRightInd w:val="0"/>
              <w:snapToGrid w:val="0"/>
              <w:spacing w:line="360" w:lineRule="exact"/>
              <w:rPr>
                <w:rFonts w:ascii="宋体" w:hAnsi="宋体" w:cs="宋体"/>
                <w:szCs w:val="21"/>
              </w:rPr>
            </w:pPr>
            <w:r>
              <w:rPr>
                <w:rFonts w:hint="eastAsia" w:ascii="宋体" w:hAnsi="宋体" w:cs="宋体"/>
                <w:szCs w:val="21"/>
              </w:rPr>
              <w:t>投标人在递交投标文件的同时，应按规定的金额、形式递交投标保证金，并作为其投标文件的组成部分。</w:t>
            </w:r>
          </w:p>
          <w:p w14:paraId="5DB903E2">
            <w:pPr>
              <w:keepLines/>
              <w:numPr>
                <w:ilvl w:val="0"/>
                <w:numId w:val="5"/>
              </w:numPr>
              <w:adjustRightInd w:val="0"/>
              <w:snapToGrid w:val="0"/>
              <w:spacing w:line="360" w:lineRule="exact"/>
              <w:rPr>
                <w:rFonts w:ascii="宋体" w:hAnsi="宋体" w:cs="宋体"/>
                <w:kern w:val="0"/>
                <w:szCs w:val="21"/>
              </w:rPr>
            </w:pPr>
            <w:r>
              <w:rPr>
                <w:rFonts w:hint="eastAsia" w:ascii="宋体" w:hAnsi="宋体" w:cs="宋体"/>
                <w:szCs w:val="21"/>
              </w:rPr>
              <w:t>本工程投标保证金数额为</w:t>
            </w:r>
            <w:r>
              <w:rPr>
                <w:rFonts w:hint="eastAsia" w:ascii="宋体" w:hAnsi="宋体" w:cs="宋体"/>
                <w:b/>
                <w:bCs/>
                <w:szCs w:val="21"/>
                <w:u w:val="single"/>
              </w:rPr>
              <w:t>2000元</w:t>
            </w:r>
            <w:r>
              <w:rPr>
                <w:rFonts w:hint="eastAsia" w:ascii="宋体" w:hAnsi="宋体" w:cs="宋体"/>
                <w:szCs w:val="21"/>
              </w:rPr>
              <w:t>整/投标单位。</w:t>
            </w:r>
            <w:r>
              <w:rPr>
                <w:rFonts w:hint="eastAsia" w:ascii="宋体" w:hAnsi="宋体" w:cs="宋体"/>
                <w:spacing w:val="10"/>
                <w:szCs w:val="21"/>
              </w:rPr>
              <w:t>（本项目免收投标保证金，免</w:t>
            </w:r>
            <w:r>
              <w:rPr>
                <w:rFonts w:hint="eastAsia" w:ascii="宋体" w:hAnsi="宋体" w:cs="宋体"/>
                <w:spacing w:val="9"/>
                <w:szCs w:val="21"/>
              </w:rPr>
              <w:t>缴投标</w:t>
            </w:r>
            <w:r>
              <w:rPr>
                <w:rFonts w:hint="eastAsia" w:ascii="宋体" w:hAnsi="宋体" w:cs="宋体"/>
                <w:spacing w:val="7"/>
                <w:szCs w:val="21"/>
              </w:rPr>
              <w:t>保证金但不免除相应责任，投标人应提交《投标人免缴投标保证金信用承诺书》,作出</w:t>
            </w:r>
            <w:r>
              <w:rPr>
                <w:rFonts w:hint="eastAsia" w:ascii="宋体" w:hAnsi="宋体" w:cs="宋体"/>
                <w:spacing w:val="6"/>
                <w:szCs w:val="21"/>
              </w:rPr>
              <w:t>承诺</w:t>
            </w:r>
            <w:r>
              <w:rPr>
                <w:rFonts w:hint="eastAsia" w:ascii="宋体" w:hAnsi="宋体" w:cs="宋体"/>
                <w:spacing w:val="9"/>
                <w:szCs w:val="21"/>
              </w:rPr>
              <w:t>不免除投标人违法、违规、违约责任，并遵守招投标相关法律、法规）。</w:t>
            </w:r>
          </w:p>
        </w:tc>
      </w:tr>
      <w:tr w14:paraId="67F2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900" w:type="dxa"/>
            <w:noWrap/>
            <w:vAlign w:val="center"/>
          </w:tcPr>
          <w:p w14:paraId="1CE167A7">
            <w:pPr>
              <w:keepLines/>
              <w:spacing w:line="360" w:lineRule="exact"/>
              <w:jc w:val="center"/>
              <w:rPr>
                <w:rFonts w:ascii="宋体" w:hAnsi="宋体" w:cs="宋体"/>
                <w:szCs w:val="21"/>
              </w:rPr>
            </w:pPr>
            <w:r>
              <w:rPr>
                <w:rFonts w:hint="eastAsia" w:ascii="宋体" w:hAnsi="宋体" w:cs="宋体"/>
                <w:szCs w:val="21"/>
              </w:rPr>
              <w:t>4.2.1</w:t>
            </w:r>
          </w:p>
        </w:tc>
        <w:tc>
          <w:tcPr>
            <w:tcW w:w="1929" w:type="dxa"/>
            <w:noWrap/>
            <w:vAlign w:val="center"/>
          </w:tcPr>
          <w:p w14:paraId="1DF3D941">
            <w:pPr>
              <w:keepLines/>
              <w:spacing w:line="360" w:lineRule="exact"/>
              <w:jc w:val="center"/>
              <w:rPr>
                <w:rFonts w:ascii="宋体" w:hAnsi="宋体" w:cs="宋体"/>
                <w:kern w:val="0"/>
                <w:szCs w:val="21"/>
              </w:rPr>
            </w:pPr>
            <w:r>
              <w:rPr>
                <w:rFonts w:hint="eastAsia" w:ascii="宋体" w:hAnsi="宋体" w:cs="宋体"/>
                <w:kern w:val="0"/>
                <w:szCs w:val="21"/>
              </w:rPr>
              <w:t>投标截止时间</w:t>
            </w:r>
          </w:p>
        </w:tc>
        <w:tc>
          <w:tcPr>
            <w:tcW w:w="6889" w:type="dxa"/>
            <w:noWrap/>
            <w:vAlign w:val="center"/>
          </w:tcPr>
          <w:p w14:paraId="2043A887">
            <w:pPr>
              <w:keepLines/>
              <w:spacing w:line="360" w:lineRule="exact"/>
              <w:ind w:left="105" w:leftChars="50" w:right="105" w:rightChars="50"/>
              <w:rPr>
                <w:rFonts w:ascii="宋体" w:hAnsi="宋体" w:cs="宋体"/>
                <w:b/>
                <w:szCs w:val="21"/>
                <w:u w:val="single"/>
              </w:rPr>
            </w:pPr>
            <w:r>
              <w:rPr>
                <w:rFonts w:hint="eastAsia" w:ascii="宋体" w:hAnsi="宋体" w:cs="宋体"/>
                <w:b/>
                <w:color w:val="0C0C0C" w:themeColor="text1" w:themeTint="F2"/>
                <w:szCs w:val="21"/>
                <w:u w:val="single"/>
              </w:rPr>
              <w:t>2026</w:t>
            </w:r>
            <w:r>
              <w:rPr>
                <w:rFonts w:hint="eastAsia" w:ascii="宋体" w:hAnsi="宋体" w:cs="宋体"/>
                <w:b/>
                <w:color w:val="0C0C0C" w:themeColor="text1" w:themeTint="F2"/>
                <w:szCs w:val="21"/>
              </w:rPr>
              <w:t>年</w:t>
            </w:r>
            <w:r>
              <w:rPr>
                <w:rFonts w:hint="eastAsia" w:ascii="宋体" w:hAnsi="宋体" w:cs="宋体"/>
                <w:b/>
                <w:color w:val="0C0C0C" w:themeColor="text1" w:themeTint="F2"/>
                <w:szCs w:val="21"/>
                <w:lang w:val="en-US" w:eastAsia="zh-CN"/>
              </w:rPr>
              <w:t>9</w:t>
            </w:r>
            <w:r>
              <w:rPr>
                <w:rFonts w:hint="eastAsia" w:ascii="宋体" w:hAnsi="宋体" w:cs="宋体"/>
                <w:b/>
                <w:color w:val="0C0C0C" w:themeColor="text1" w:themeTint="F2"/>
                <w:szCs w:val="21"/>
              </w:rPr>
              <w:t>月</w:t>
            </w:r>
            <w:r>
              <w:rPr>
                <w:rFonts w:hint="eastAsia" w:ascii="宋体" w:hAnsi="宋体" w:cs="宋体"/>
                <w:b/>
                <w:color w:val="0C0C0C" w:themeColor="text1" w:themeTint="F2"/>
                <w:szCs w:val="21"/>
                <w:lang w:val="en-US" w:eastAsia="zh-CN"/>
              </w:rPr>
              <w:t>16</w:t>
            </w:r>
            <w:r>
              <w:rPr>
                <w:rFonts w:hint="eastAsia" w:ascii="宋体" w:hAnsi="宋体" w:cs="宋体"/>
                <w:b/>
                <w:color w:val="0C0C0C" w:themeColor="text1" w:themeTint="F2"/>
                <w:szCs w:val="21"/>
              </w:rPr>
              <w:t>日</w:t>
            </w:r>
            <w:r>
              <w:rPr>
                <w:rFonts w:hint="eastAsia" w:ascii="宋体" w:hAnsi="宋体" w:cs="宋体"/>
                <w:b/>
                <w:color w:val="0C0C0C" w:themeColor="text1" w:themeTint="F2"/>
                <w:szCs w:val="21"/>
                <w:u w:val="single"/>
              </w:rPr>
              <w:t>14</w:t>
            </w:r>
            <w:r>
              <w:rPr>
                <w:rFonts w:hint="eastAsia" w:ascii="宋体" w:hAnsi="宋体" w:cs="宋体"/>
                <w:b/>
                <w:color w:val="0C0C0C" w:themeColor="text1" w:themeTint="F2"/>
                <w:szCs w:val="21"/>
              </w:rPr>
              <w:t>时</w:t>
            </w:r>
            <w:r>
              <w:rPr>
                <w:rFonts w:hint="eastAsia" w:ascii="宋体" w:hAnsi="宋体" w:cs="宋体"/>
                <w:b/>
                <w:color w:val="0C0C0C" w:themeColor="text1" w:themeTint="F2"/>
                <w:szCs w:val="21"/>
                <w:u w:val="single"/>
              </w:rPr>
              <w:t>00</w:t>
            </w:r>
            <w:r>
              <w:rPr>
                <w:rFonts w:hint="eastAsia" w:ascii="宋体" w:hAnsi="宋体" w:cs="宋体"/>
                <w:b/>
                <w:color w:val="0C0C0C" w:themeColor="text1" w:themeTint="F2"/>
                <w:szCs w:val="21"/>
              </w:rPr>
              <w:t xml:space="preserve">分 </w:t>
            </w:r>
          </w:p>
        </w:tc>
      </w:tr>
      <w:tr w14:paraId="31BD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00" w:type="dxa"/>
            <w:noWrap/>
            <w:vAlign w:val="center"/>
          </w:tcPr>
          <w:p w14:paraId="70E816DF">
            <w:pPr>
              <w:keepLines/>
              <w:spacing w:line="360" w:lineRule="exact"/>
              <w:jc w:val="center"/>
              <w:rPr>
                <w:rFonts w:ascii="宋体" w:hAnsi="宋体" w:cs="宋体"/>
                <w:kern w:val="0"/>
                <w:szCs w:val="21"/>
              </w:rPr>
            </w:pPr>
            <w:r>
              <w:rPr>
                <w:rFonts w:hint="eastAsia" w:ascii="宋体" w:hAnsi="宋体" w:cs="宋体"/>
                <w:kern w:val="0"/>
                <w:szCs w:val="21"/>
              </w:rPr>
              <w:t>4.2.3</w:t>
            </w:r>
          </w:p>
        </w:tc>
        <w:tc>
          <w:tcPr>
            <w:tcW w:w="1929" w:type="dxa"/>
            <w:noWrap/>
            <w:vAlign w:val="center"/>
          </w:tcPr>
          <w:p w14:paraId="4C952CED">
            <w:pPr>
              <w:keepLines/>
              <w:spacing w:line="360" w:lineRule="exact"/>
              <w:jc w:val="center"/>
              <w:rPr>
                <w:rFonts w:ascii="宋体" w:hAnsi="宋体" w:cs="宋体"/>
                <w:kern w:val="0"/>
                <w:szCs w:val="21"/>
              </w:rPr>
            </w:pPr>
            <w:r>
              <w:rPr>
                <w:rFonts w:hint="eastAsia" w:ascii="宋体" w:hAnsi="宋体" w:cs="宋体"/>
                <w:kern w:val="0"/>
                <w:szCs w:val="21"/>
              </w:rPr>
              <w:t>递交投标文件地点</w:t>
            </w:r>
          </w:p>
        </w:tc>
        <w:tc>
          <w:tcPr>
            <w:tcW w:w="6889" w:type="dxa"/>
            <w:noWrap/>
            <w:vAlign w:val="center"/>
          </w:tcPr>
          <w:p w14:paraId="0AE5F60B">
            <w:pPr>
              <w:pStyle w:val="8"/>
              <w:spacing w:line="400" w:lineRule="exact"/>
              <w:rPr>
                <w:rFonts w:ascii="宋体" w:hAnsi="宋体" w:cs="宋体"/>
                <w:b/>
                <w:szCs w:val="21"/>
              </w:rPr>
            </w:pPr>
            <w:r>
              <w:rPr>
                <w:rFonts w:hint="eastAsia" w:ascii="宋体" w:hAnsi="宋体" w:eastAsia="宋体" w:cs="宋体"/>
                <w:color w:val="000000" w:themeColor="text1"/>
                <w:szCs w:val="21"/>
              </w:rPr>
              <w:t>南通市通州区金霞路555号江海圆融汇1号楼8层开标室。</w:t>
            </w:r>
          </w:p>
        </w:tc>
      </w:tr>
      <w:tr w14:paraId="3938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00" w:type="dxa"/>
            <w:noWrap/>
            <w:vAlign w:val="center"/>
          </w:tcPr>
          <w:p w14:paraId="0F1591DF">
            <w:pPr>
              <w:keepLines/>
              <w:spacing w:line="360" w:lineRule="exact"/>
              <w:jc w:val="center"/>
              <w:rPr>
                <w:rFonts w:ascii="宋体" w:hAnsi="宋体" w:cs="宋体"/>
                <w:szCs w:val="21"/>
              </w:rPr>
            </w:pPr>
            <w:r>
              <w:rPr>
                <w:rFonts w:hint="eastAsia" w:ascii="宋体" w:hAnsi="宋体" w:cs="宋体"/>
                <w:szCs w:val="21"/>
              </w:rPr>
              <w:t>5.1.1</w:t>
            </w:r>
          </w:p>
        </w:tc>
        <w:tc>
          <w:tcPr>
            <w:tcW w:w="1929" w:type="dxa"/>
            <w:noWrap/>
            <w:vAlign w:val="center"/>
          </w:tcPr>
          <w:p w14:paraId="2C7F10B4">
            <w:pPr>
              <w:keepLines/>
              <w:spacing w:line="360" w:lineRule="exact"/>
              <w:jc w:val="center"/>
              <w:rPr>
                <w:rFonts w:ascii="宋体" w:hAnsi="宋体" w:cs="宋体"/>
                <w:szCs w:val="21"/>
              </w:rPr>
            </w:pPr>
            <w:r>
              <w:rPr>
                <w:rFonts w:hint="eastAsia" w:ascii="宋体" w:hAnsi="宋体" w:cs="宋体"/>
                <w:szCs w:val="21"/>
              </w:rPr>
              <w:t>开标时间、地点</w:t>
            </w:r>
          </w:p>
        </w:tc>
        <w:tc>
          <w:tcPr>
            <w:tcW w:w="6889" w:type="dxa"/>
            <w:noWrap/>
            <w:vAlign w:val="center"/>
          </w:tcPr>
          <w:p w14:paraId="2057A11E">
            <w:pPr>
              <w:keepLines/>
              <w:spacing w:line="360" w:lineRule="exact"/>
              <w:ind w:left="105" w:leftChars="50" w:right="105" w:rightChars="50"/>
              <w:rPr>
                <w:rFonts w:ascii="宋体" w:hAnsi="宋体" w:cs="宋体"/>
                <w:szCs w:val="21"/>
              </w:rPr>
            </w:pPr>
            <w:r>
              <w:rPr>
                <w:rFonts w:hint="eastAsia" w:ascii="宋体" w:hAnsi="宋体" w:cs="宋体"/>
                <w:szCs w:val="21"/>
              </w:rPr>
              <w:t>开标时间：同投标截止时间</w:t>
            </w:r>
          </w:p>
          <w:p w14:paraId="5E455BD0">
            <w:pPr>
              <w:keepLines/>
              <w:spacing w:line="360" w:lineRule="exact"/>
              <w:ind w:left="105" w:leftChars="50" w:right="105" w:rightChars="50"/>
              <w:rPr>
                <w:rFonts w:ascii="宋体" w:hAnsi="宋体" w:cs="宋体"/>
                <w:szCs w:val="21"/>
                <w:u w:val="single"/>
              </w:rPr>
            </w:pPr>
            <w:r>
              <w:rPr>
                <w:rFonts w:hint="eastAsia" w:ascii="宋体" w:hAnsi="宋体" w:cs="宋体"/>
                <w:szCs w:val="21"/>
              </w:rPr>
              <w:t>开标地点：</w:t>
            </w:r>
            <w:r>
              <w:rPr>
                <w:rFonts w:hint="eastAsia" w:ascii="宋体" w:hAnsi="宋体" w:cs="宋体"/>
                <w:color w:val="000000" w:themeColor="text1"/>
                <w:szCs w:val="21"/>
              </w:rPr>
              <w:t>南通市通州区金霞路555号江海圆融汇1号楼8层开标室</w:t>
            </w:r>
            <w:r>
              <w:rPr>
                <w:rFonts w:hint="eastAsia" w:ascii="宋体" w:hAnsi="宋体" w:cs="宋体"/>
                <w:bCs/>
                <w:szCs w:val="21"/>
              </w:rPr>
              <w:t>。</w:t>
            </w:r>
          </w:p>
        </w:tc>
      </w:tr>
      <w:tr w14:paraId="7DA2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900" w:type="dxa"/>
            <w:noWrap/>
            <w:vAlign w:val="center"/>
          </w:tcPr>
          <w:p w14:paraId="6A88A353">
            <w:pPr>
              <w:keepLines/>
              <w:spacing w:line="360" w:lineRule="exact"/>
              <w:jc w:val="center"/>
              <w:rPr>
                <w:rFonts w:ascii="宋体" w:hAnsi="宋体" w:cs="宋体"/>
                <w:szCs w:val="21"/>
              </w:rPr>
            </w:pPr>
            <w:r>
              <w:rPr>
                <w:rFonts w:hint="eastAsia" w:ascii="宋体" w:hAnsi="宋体" w:cs="宋体"/>
                <w:szCs w:val="21"/>
              </w:rPr>
              <w:t>5.1.2</w:t>
            </w:r>
          </w:p>
        </w:tc>
        <w:tc>
          <w:tcPr>
            <w:tcW w:w="1929" w:type="dxa"/>
            <w:noWrap/>
            <w:vAlign w:val="center"/>
          </w:tcPr>
          <w:p w14:paraId="77BD6C70">
            <w:pPr>
              <w:keepLines/>
              <w:spacing w:line="360" w:lineRule="exact"/>
              <w:jc w:val="center"/>
              <w:rPr>
                <w:rFonts w:ascii="宋体" w:hAnsi="宋体" w:cs="宋体"/>
                <w:szCs w:val="21"/>
              </w:rPr>
            </w:pPr>
            <w:r>
              <w:rPr>
                <w:rFonts w:hint="eastAsia" w:ascii="宋体" w:hAnsi="宋体" w:cs="宋体"/>
                <w:szCs w:val="21"/>
              </w:rPr>
              <w:t>参加开标会的投标人代表</w:t>
            </w:r>
          </w:p>
        </w:tc>
        <w:tc>
          <w:tcPr>
            <w:tcW w:w="6889" w:type="dxa"/>
            <w:noWrap/>
            <w:vAlign w:val="center"/>
          </w:tcPr>
          <w:p w14:paraId="049DC7FF">
            <w:pPr>
              <w:spacing w:line="320" w:lineRule="exact"/>
              <w:rPr>
                <w:rFonts w:ascii="宋体" w:hAnsi="宋体" w:cs="宋体"/>
                <w:szCs w:val="21"/>
              </w:rPr>
            </w:pPr>
            <w:r>
              <w:rPr>
                <w:rFonts w:hint="eastAsia" w:ascii="宋体" w:hAnsi="宋体" w:cs="宋体"/>
                <w:bCs/>
              </w:rPr>
              <w:t>本工程的授权委托人需出示身份证，亲自、准时参加开标会议，否则不论何原因，均视为自动弃权，其投标文件将被招标人拒绝。</w:t>
            </w:r>
          </w:p>
        </w:tc>
      </w:tr>
      <w:tr w14:paraId="3D5A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00" w:type="dxa"/>
            <w:noWrap/>
            <w:vAlign w:val="center"/>
          </w:tcPr>
          <w:p w14:paraId="672F331D">
            <w:pPr>
              <w:keepLines/>
              <w:spacing w:line="360" w:lineRule="exact"/>
              <w:jc w:val="center"/>
              <w:rPr>
                <w:rFonts w:ascii="宋体" w:hAnsi="宋体" w:cs="宋体"/>
                <w:szCs w:val="21"/>
              </w:rPr>
            </w:pPr>
            <w:r>
              <w:rPr>
                <w:rFonts w:hint="eastAsia" w:ascii="宋体" w:hAnsi="宋体" w:cs="宋体"/>
                <w:szCs w:val="21"/>
              </w:rPr>
              <w:t>5.1.2</w:t>
            </w:r>
          </w:p>
        </w:tc>
        <w:tc>
          <w:tcPr>
            <w:tcW w:w="1929" w:type="dxa"/>
            <w:noWrap/>
            <w:vAlign w:val="center"/>
          </w:tcPr>
          <w:p w14:paraId="58D75724">
            <w:pPr>
              <w:keepLines/>
              <w:spacing w:line="360" w:lineRule="exact"/>
              <w:jc w:val="center"/>
              <w:rPr>
                <w:rFonts w:ascii="宋体" w:hAnsi="宋体" w:cs="宋体"/>
                <w:szCs w:val="21"/>
              </w:rPr>
            </w:pPr>
            <w:r>
              <w:rPr>
                <w:rFonts w:hint="eastAsia" w:ascii="宋体" w:hAnsi="宋体" w:cs="宋体"/>
                <w:szCs w:val="21"/>
              </w:rPr>
              <w:t>开标程序</w:t>
            </w:r>
          </w:p>
        </w:tc>
        <w:tc>
          <w:tcPr>
            <w:tcW w:w="6889" w:type="dxa"/>
            <w:noWrap/>
            <w:vAlign w:val="center"/>
          </w:tcPr>
          <w:p w14:paraId="1D390091">
            <w:pPr>
              <w:keepLines/>
              <w:adjustRightInd w:val="0"/>
              <w:snapToGrid w:val="0"/>
              <w:spacing w:line="360" w:lineRule="exact"/>
              <w:rPr>
                <w:rFonts w:ascii="宋体" w:hAnsi="宋体" w:cs="宋体"/>
                <w:szCs w:val="21"/>
              </w:rPr>
            </w:pPr>
            <w:r>
              <w:rPr>
                <w:rFonts w:hint="eastAsia" w:ascii="宋体" w:hAnsi="宋体" w:cs="宋体"/>
                <w:szCs w:val="21"/>
              </w:rPr>
              <w:t xml:space="preserve">(1）宣布开标纪律； </w:t>
            </w:r>
          </w:p>
          <w:p w14:paraId="043447DD">
            <w:pPr>
              <w:keepLines/>
              <w:adjustRightInd w:val="0"/>
              <w:snapToGrid w:val="0"/>
              <w:spacing w:line="360" w:lineRule="exact"/>
              <w:rPr>
                <w:rFonts w:ascii="宋体" w:hAnsi="宋体" w:cs="宋体"/>
                <w:szCs w:val="21"/>
              </w:rPr>
            </w:pPr>
            <w:r>
              <w:rPr>
                <w:rFonts w:hint="eastAsia" w:ascii="宋体" w:hAnsi="宋体" w:cs="宋体"/>
                <w:szCs w:val="21"/>
              </w:rPr>
              <w:t xml:space="preserve">(2）宣布开标有关人员姓名；  </w:t>
            </w:r>
          </w:p>
          <w:p w14:paraId="169889D1">
            <w:pPr>
              <w:keepLines/>
              <w:adjustRightInd w:val="0"/>
              <w:snapToGrid w:val="0"/>
              <w:spacing w:line="360" w:lineRule="exact"/>
              <w:rPr>
                <w:rFonts w:ascii="宋体" w:hAnsi="宋体" w:cs="宋体"/>
                <w:szCs w:val="21"/>
              </w:rPr>
            </w:pPr>
            <w:r>
              <w:rPr>
                <w:rFonts w:hint="eastAsia" w:ascii="宋体" w:hAnsi="宋体" w:cs="宋体"/>
                <w:szCs w:val="21"/>
              </w:rPr>
              <w:t xml:space="preserve">(3）公布投标人名称及投标保证金缴纳情况； </w:t>
            </w:r>
          </w:p>
          <w:p w14:paraId="50125ADE">
            <w:pPr>
              <w:keepLines/>
              <w:adjustRightInd w:val="0"/>
              <w:snapToGrid w:val="0"/>
              <w:spacing w:line="360" w:lineRule="exact"/>
              <w:rPr>
                <w:rFonts w:ascii="宋体" w:hAnsi="宋体" w:cs="宋体"/>
                <w:szCs w:val="21"/>
              </w:rPr>
            </w:pPr>
            <w:r>
              <w:rPr>
                <w:rFonts w:hint="eastAsia" w:ascii="宋体" w:hAnsi="宋体" w:cs="宋体"/>
                <w:szCs w:val="21"/>
              </w:rPr>
              <w:t>(4）抽取评标办法及相关系数；</w:t>
            </w:r>
          </w:p>
          <w:p w14:paraId="5A2553A2">
            <w:pPr>
              <w:keepLines/>
              <w:spacing w:line="360" w:lineRule="exact"/>
              <w:ind w:right="105" w:rightChars="50"/>
              <w:rPr>
                <w:rFonts w:ascii="宋体" w:hAnsi="宋体" w:cs="宋体"/>
                <w:szCs w:val="21"/>
              </w:rPr>
            </w:pPr>
            <w:r>
              <w:rPr>
                <w:rFonts w:hint="eastAsia" w:ascii="宋体" w:hAnsi="宋体" w:cs="宋体"/>
                <w:szCs w:val="21"/>
              </w:rPr>
              <w:t>(5）开标结束。</w:t>
            </w:r>
          </w:p>
        </w:tc>
      </w:tr>
      <w:tr w14:paraId="2492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00" w:type="dxa"/>
            <w:noWrap/>
            <w:vAlign w:val="center"/>
          </w:tcPr>
          <w:p w14:paraId="0E6E9DAA">
            <w:pPr>
              <w:keepLines/>
              <w:adjustRightInd w:val="0"/>
              <w:snapToGrid w:val="0"/>
              <w:spacing w:line="320" w:lineRule="exact"/>
              <w:jc w:val="center"/>
              <w:rPr>
                <w:rFonts w:ascii="宋体" w:hAnsi="宋体" w:cs="宋体"/>
                <w:szCs w:val="21"/>
              </w:rPr>
            </w:pPr>
            <w:r>
              <w:rPr>
                <w:rFonts w:hint="eastAsia" w:ascii="宋体" w:hAnsi="宋体" w:cs="宋体"/>
                <w:szCs w:val="21"/>
              </w:rPr>
              <w:t>6.1.1</w:t>
            </w:r>
          </w:p>
        </w:tc>
        <w:tc>
          <w:tcPr>
            <w:tcW w:w="1929" w:type="dxa"/>
            <w:noWrap/>
            <w:vAlign w:val="center"/>
          </w:tcPr>
          <w:p w14:paraId="2C1ABCB5">
            <w:pPr>
              <w:keepLines/>
              <w:adjustRightInd w:val="0"/>
              <w:snapToGrid w:val="0"/>
              <w:spacing w:line="320" w:lineRule="exact"/>
              <w:jc w:val="center"/>
              <w:rPr>
                <w:rFonts w:ascii="宋体" w:hAnsi="宋体" w:cs="宋体"/>
                <w:szCs w:val="21"/>
              </w:rPr>
            </w:pPr>
            <w:r>
              <w:rPr>
                <w:rFonts w:hint="eastAsia" w:ascii="宋体" w:hAnsi="宋体" w:cs="宋体"/>
                <w:szCs w:val="21"/>
              </w:rPr>
              <w:t>评标委员会的组建</w:t>
            </w:r>
          </w:p>
        </w:tc>
        <w:tc>
          <w:tcPr>
            <w:tcW w:w="6889" w:type="dxa"/>
            <w:noWrap/>
            <w:vAlign w:val="center"/>
          </w:tcPr>
          <w:p w14:paraId="51582D66">
            <w:pPr>
              <w:keepLines/>
              <w:adjustRightInd w:val="0"/>
              <w:snapToGrid w:val="0"/>
              <w:spacing w:line="360" w:lineRule="exact"/>
              <w:ind w:left="105" w:leftChars="50" w:right="105" w:rightChars="50"/>
              <w:rPr>
                <w:rFonts w:ascii="宋体" w:hAnsi="宋体" w:cs="宋体"/>
                <w:szCs w:val="21"/>
              </w:rPr>
            </w:pPr>
            <w:r>
              <w:rPr>
                <w:rFonts w:hint="eastAsia" w:ascii="宋体" w:hAnsi="宋体" w:cs="宋体"/>
                <w:szCs w:val="21"/>
              </w:rPr>
              <w:t>评标委员会构成：</w:t>
            </w:r>
            <w:r>
              <w:rPr>
                <w:rFonts w:hint="eastAsia" w:ascii="宋体" w:hAnsi="宋体" w:cs="宋体"/>
                <w:u w:val="single"/>
              </w:rPr>
              <w:t>由有关技术、经济等方面的专家组成</w:t>
            </w:r>
            <w:r>
              <w:rPr>
                <w:rFonts w:hint="eastAsia" w:ascii="宋体" w:hAnsi="宋体" w:cs="宋体"/>
                <w:szCs w:val="21"/>
              </w:rPr>
              <w:t>。</w:t>
            </w:r>
          </w:p>
        </w:tc>
      </w:tr>
      <w:tr w14:paraId="0317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00" w:type="dxa"/>
            <w:noWrap/>
            <w:vAlign w:val="center"/>
          </w:tcPr>
          <w:p w14:paraId="18F24441">
            <w:pPr>
              <w:keepLines/>
              <w:adjustRightInd w:val="0"/>
              <w:snapToGrid w:val="0"/>
              <w:spacing w:line="320" w:lineRule="exact"/>
              <w:jc w:val="center"/>
              <w:rPr>
                <w:rFonts w:ascii="宋体" w:hAnsi="宋体" w:cs="宋体"/>
                <w:szCs w:val="21"/>
              </w:rPr>
            </w:pPr>
            <w:r>
              <w:rPr>
                <w:rFonts w:hint="eastAsia" w:ascii="宋体" w:hAnsi="宋体" w:cs="宋体"/>
                <w:szCs w:val="21"/>
              </w:rPr>
              <w:t>6.3</w:t>
            </w:r>
          </w:p>
        </w:tc>
        <w:tc>
          <w:tcPr>
            <w:tcW w:w="1929" w:type="dxa"/>
            <w:noWrap/>
            <w:vAlign w:val="center"/>
          </w:tcPr>
          <w:p w14:paraId="410EFD93">
            <w:pPr>
              <w:keepLines/>
              <w:adjustRightInd w:val="0"/>
              <w:snapToGrid w:val="0"/>
              <w:spacing w:line="320" w:lineRule="exact"/>
              <w:jc w:val="center"/>
              <w:rPr>
                <w:rFonts w:ascii="宋体" w:hAnsi="宋体" w:cs="宋体"/>
                <w:szCs w:val="21"/>
              </w:rPr>
            </w:pPr>
            <w:r>
              <w:rPr>
                <w:rFonts w:hint="eastAsia" w:ascii="宋体" w:hAnsi="宋体" w:cs="宋体"/>
                <w:szCs w:val="21"/>
              </w:rPr>
              <w:t>评标方法</w:t>
            </w:r>
          </w:p>
        </w:tc>
        <w:tc>
          <w:tcPr>
            <w:tcW w:w="6889" w:type="dxa"/>
            <w:noWrap/>
            <w:vAlign w:val="center"/>
          </w:tcPr>
          <w:p w14:paraId="53F9DCE8">
            <w:pPr>
              <w:keepLines/>
              <w:adjustRightInd w:val="0"/>
              <w:snapToGrid w:val="0"/>
              <w:spacing w:line="360" w:lineRule="exact"/>
              <w:ind w:left="105" w:leftChars="50" w:right="105" w:rightChars="50"/>
              <w:rPr>
                <w:rFonts w:ascii="宋体" w:hAnsi="宋体" w:cs="宋体"/>
                <w:szCs w:val="21"/>
              </w:rPr>
            </w:pPr>
            <w:r>
              <w:rPr>
                <w:rFonts w:hint="eastAsia" w:ascii="宋体" w:hAnsi="宋体" w:cs="宋体"/>
                <w:szCs w:val="21"/>
              </w:rPr>
              <w:sym w:font="Wingdings 2" w:char="0052"/>
            </w:r>
            <w:r>
              <w:rPr>
                <w:rFonts w:hint="eastAsia" w:ascii="宋体" w:hAnsi="宋体" w:cs="宋体"/>
                <w:szCs w:val="21"/>
              </w:rPr>
              <w:t>综合评估法</w:t>
            </w:r>
          </w:p>
        </w:tc>
      </w:tr>
      <w:tr w14:paraId="385A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00" w:type="dxa"/>
            <w:noWrap/>
            <w:vAlign w:val="center"/>
          </w:tcPr>
          <w:p w14:paraId="2F54EB16">
            <w:pPr>
              <w:keepLines/>
              <w:adjustRightInd w:val="0"/>
              <w:snapToGrid w:val="0"/>
              <w:spacing w:line="320" w:lineRule="exact"/>
              <w:jc w:val="center"/>
              <w:rPr>
                <w:rFonts w:ascii="宋体" w:hAnsi="宋体" w:cs="宋体"/>
                <w:szCs w:val="21"/>
              </w:rPr>
            </w:pPr>
            <w:r>
              <w:rPr>
                <w:rFonts w:hint="eastAsia" w:ascii="宋体" w:hAnsi="宋体" w:cs="宋体"/>
                <w:szCs w:val="21"/>
              </w:rPr>
              <w:t>7.1</w:t>
            </w:r>
          </w:p>
        </w:tc>
        <w:tc>
          <w:tcPr>
            <w:tcW w:w="1929" w:type="dxa"/>
            <w:noWrap/>
            <w:vAlign w:val="center"/>
          </w:tcPr>
          <w:p w14:paraId="4C850CE5">
            <w:pPr>
              <w:keepLines/>
              <w:adjustRightInd w:val="0"/>
              <w:snapToGrid w:val="0"/>
              <w:spacing w:line="320" w:lineRule="exact"/>
              <w:rPr>
                <w:rFonts w:ascii="宋体" w:hAnsi="宋体" w:cs="宋体"/>
                <w:szCs w:val="21"/>
              </w:rPr>
            </w:pPr>
            <w:r>
              <w:rPr>
                <w:rFonts w:hint="eastAsia" w:ascii="宋体" w:hAnsi="宋体" w:cs="宋体"/>
                <w:szCs w:val="21"/>
              </w:rPr>
              <w:t>是否授权评标委员会确定中标人</w:t>
            </w:r>
          </w:p>
        </w:tc>
        <w:tc>
          <w:tcPr>
            <w:tcW w:w="6889" w:type="dxa"/>
            <w:noWrap/>
            <w:vAlign w:val="center"/>
          </w:tcPr>
          <w:p w14:paraId="51F3AF9F">
            <w:pPr>
              <w:keepLines/>
              <w:adjustRightInd w:val="0"/>
              <w:snapToGrid w:val="0"/>
              <w:spacing w:line="360" w:lineRule="exact"/>
              <w:ind w:left="105" w:leftChars="50" w:right="105" w:rightChars="50"/>
              <w:rPr>
                <w:rFonts w:ascii="宋体" w:hAnsi="宋体" w:cs="宋体"/>
                <w:szCs w:val="21"/>
              </w:rPr>
            </w:pPr>
            <w:r>
              <w:rPr>
                <w:rFonts w:hint="eastAsia" w:ascii="宋体" w:hAnsi="宋体" w:cs="宋体"/>
                <w:szCs w:val="21"/>
              </w:rPr>
              <w:sym w:font="Wingdings 2" w:char="0052"/>
            </w:r>
            <w:r>
              <w:rPr>
                <w:rFonts w:hint="eastAsia" w:ascii="宋体" w:hAnsi="宋体" w:cs="宋体"/>
                <w:szCs w:val="21"/>
              </w:rPr>
              <w:t>是</w:t>
            </w:r>
          </w:p>
          <w:p w14:paraId="5C313D68">
            <w:pPr>
              <w:keepLines/>
              <w:adjustRightInd w:val="0"/>
              <w:snapToGrid w:val="0"/>
              <w:spacing w:line="360" w:lineRule="exact"/>
              <w:ind w:left="105" w:leftChars="50" w:right="105" w:rightChars="50"/>
              <w:rPr>
                <w:rFonts w:ascii="宋体" w:hAnsi="宋体" w:cs="宋体"/>
                <w:szCs w:val="21"/>
              </w:rPr>
            </w:pPr>
            <w:r>
              <w:rPr>
                <w:rFonts w:hint="eastAsia" w:ascii="宋体" w:hAnsi="宋体" w:cs="宋体"/>
                <w:szCs w:val="21"/>
              </w:rPr>
              <w:sym w:font="Wingdings 2" w:char="00A3"/>
            </w:r>
            <w:r>
              <w:rPr>
                <w:rFonts w:hint="eastAsia" w:ascii="宋体" w:hAnsi="宋体" w:cs="宋体"/>
                <w:szCs w:val="21"/>
              </w:rPr>
              <w:t>否，推荐的中标候选人数：</w:t>
            </w:r>
          </w:p>
        </w:tc>
      </w:tr>
      <w:tr w14:paraId="0540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900" w:type="dxa"/>
            <w:noWrap/>
            <w:vAlign w:val="center"/>
          </w:tcPr>
          <w:p w14:paraId="6E177211">
            <w:pPr>
              <w:keepLines/>
              <w:spacing w:line="360" w:lineRule="exact"/>
              <w:jc w:val="center"/>
              <w:rPr>
                <w:rFonts w:ascii="宋体" w:hAnsi="宋体" w:cs="宋体"/>
                <w:szCs w:val="21"/>
              </w:rPr>
            </w:pPr>
            <w:r>
              <w:rPr>
                <w:rFonts w:hint="eastAsia" w:ascii="宋体" w:hAnsi="宋体" w:cs="宋体"/>
                <w:szCs w:val="21"/>
              </w:rPr>
              <w:t>7.3.1</w:t>
            </w:r>
          </w:p>
        </w:tc>
        <w:tc>
          <w:tcPr>
            <w:tcW w:w="1929" w:type="dxa"/>
            <w:noWrap/>
            <w:vAlign w:val="center"/>
          </w:tcPr>
          <w:p w14:paraId="0F5F7095">
            <w:pPr>
              <w:keepLines/>
              <w:spacing w:line="360" w:lineRule="exact"/>
              <w:jc w:val="left"/>
              <w:rPr>
                <w:rFonts w:ascii="宋体" w:hAnsi="宋体" w:cs="宋体"/>
                <w:szCs w:val="21"/>
              </w:rPr>
            </w:pPr>
            <w:r>
              <w:rPr>
                <w:rFonts w:hint="eastAsia" w:ascii="宋体" w:hAnsi="宋体" w:cs="宋体"/>
                <w:szCs w:val="21"/>
              </w:rPr>
              <w:t>履约保证金</w:t>
            </w:r>
          </w:p>
        </w:tc>
        <w:tc>
          <w:tcPr>
            <w:tcW w:w="6889" w:type="dxa"/>
            <w:noWrap/>
            <w:vAlign w:val="center"/>
          </w:tcPr>
          <w:p w14:paraId="7C6DAE2D">
            <w:pPr>
              <w:keepLines/>
              <w:spacing w:line="360" w:lineRule="exact"/>
              <w:ind w:left="105" w:leftChars="50" w:right="105" w:rightChars="50"/>
              <w:rPr>
                <w:rFonts w:ascii="宋体" w:hAnsi="宋体" w:cs="宋体"/>
                <w:color w:val="FF0000"/>
                <w:szCs w:val="21"/>
              </w:rPr>
            </w:pPr>
            <w:r>
              <w:rPr>
                <w:rFonts w:hint="eastAsia" w:ascii="宋体" w:hAnsi="宋体" w:cs="宋体"/>
                <w:b/>
                <w:color w:val="0C0C0C" w:themeColor="text1" w:themeTint="F2"/>
                <w:szCs w:val="21"/>
                <w:u w:val="single"/>
              </w:rPr>
              <w:t>履约担保金额为1万元。</w:t>
            </w:r>
            <w:r>
              <w:rPr>
                <w:rFonts w:hint="eastAsia" w:ascii="宋体" w:hAnsi="宋体" w:cs="宋体"/>
                <w:color w:val="0C0C0C" w:themeColor="text1" w:themeTint="F2"/>
                <w:szCs w:val="21"/>
              </w:rPr>
              <w:t>中标后，签订合同前缴纳。</w:t>
            </w:r>
            <w:r>
              <w:rPr>
                <w:rFonts w:hint="eastAsia" w:ascii="宋体" w:hAnsi="宋体" w:cs="宋体"/>
                <w:b/>
                <w:bCs/>
                <w:color w:val="0C0C0C" w:themeColor="text1" w:themeTint="F2"/>
                <w:szCs w:val="21"/>
              </w:rPr>
              <w:t>工程全部竣工验收合格后无息退还。</w:t>
            </w:r>
          </w:p>
        </w:tc>
      </w:tr>
      <w:tr w14:paraId="2A5D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00" w:type="dxa"/>
            <w:noWrap/>
            <w:vAlign w:val="center"/>
          </w:tcPr>
          <w:p w14:paraId="0604F0B9">
            <w:pPr>
              <w:keepLines/>
              <w:spacing w:line="360" w:lineRule="exact"/>
              <w:jc w:val="center"/>
              <w:rPr>
                <w:rFonts w:ascii="宋体" w:hAnsi="宋体" w:cs="宋体"/>
                <w:szCs w:val="21"/>
              </w:rPr>
            </w:pPr>
            <w:r>
              <w:rPr>
                <w:rFonts w:hint="eastAsia" w:ascii="宋体" w:hAnsi="宋体" w:cs="宋体"/>
                <w:szCs w:val="21"/>
              </w:rPr>
              <w:t>8.5.1</w:t>
            </w:r>
          </w:p>
        </w:tc>
        <w:tc>
          <w:tcPr>
            <w:tcW w:w="1929" w:type="dxa"/>
            <w:noWrap/>
            <w:vAlign w:val="center"/>
          </w:tcPr>
          <w:p w14:paraId="36446D14">
            <w:pPr>
              <w:keepLines/>
              <w:adjustRightInd w:val="0"/>
              <w:snapToGrid w:val="0"/>
              <w:spacing w:line="320" w:lineRule="exact"/>
              <w:jc w:val="left"/>
              <w:rPr>
                <w:rFonts w:ascii="宋体" w:hAnsi="宋体" w:cs="宋体"/>
                <w:szCs w:val="21"/>
              </w:rPr>
            </w:pPr>
            <w:r>
              <w:rPr>
                <w:rFonts w:hint="eastAsia" w:ascii="宋体" w:hAnsi="宋体" w:cs="宋体"/>
                <w:szCs w:val="21"/>
              </w:rPr>
              <w:t>异议提出的时间</w:t>
            </w:r>
          </w:p>
        </w:tc>
        <w:tc>
          <w:tcPr>
            <w:tcW w:w="6889" w:type="dxa"/>
            <w:noWrap/>
            <w:vAlign w:val="center"/>
          </w:tcPr>
          <w:p w14:paraId="36359DC8">
            <w:pPr>
              <w:keepLines/>
              <w:adjustRightInd w:val="0"/>
              <w:snapToGrid w:val="0"/>
              <w:spacing w:line="360" w:lineRule="exact"/>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）对资格预审文件有异议的，潜在投标人或者其他利害关系人应当在提交资格预审申请文件截止时间</w:t>
            </w:r>
            <w:r>
              <w:rPr>
                <w:rFonts w:ascii="宋体" w:hAnsi="宋体" w:cs="宋体"/>
                <w:szCs w:val="21"/>
              </w:rPr>
              <w:t>2</w:t>
            </w:r>
            <w:r>
              <w:rPr>
                <w:rFonts w:hint="eastAsia" w:ascii="宋体" w:hAnsi="宋体" w:cs="宋体"/>
                <w:szCs w:val="21"/>
              </w:rPr>
              <w:t>日前提出；</w:t>
            </w:r>
          </w:p>
          <w:p w14:paraId="59A8D9F0">
            <w:pPr>
              <w:keepLines/>
              <w:adjustRightInd w:val="0"/>
              <w:snapToGrid w:val="0"/>
              <w:spacing w:line="360" w:lineRule="exact"/>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）对招标文件有异议的，潜在投标人或者其他利害关系人应当在答疑澄清截止日前提出；</w:t>
            </w:r>
          </w:p>
          <w:p w14:paraId="4967ED4D">
            <w:pPr>
              <w:keepLines/>
              <w:adjustRightInd w:val="0"/>
              <w:snapToGrid w:val="0"/>
              <w:spacing w:line="360" w:lineRule="exact"/>
              <w:rPr>
                <w:rFonts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）对开标有异议的，应当在开标时提出；</w:t>
            </w:r>
            <w:r>
              <w:rPr>
                <w:rFonts w:hint="eastAsia" w:ascii="宋体" w:hAnsi="宋体" w:cs="宋体"/>
                <w:b/>
                <w:szCs w:val="21"/>
              </w:rPr>
              <w:t>开标结束后投标人不得对开标事项再提出异议</w:t>
            </w:r>
            <w:r>
              <w:rPr>
                <w:rFonts w:hint="eastAsia" w:ascii="宋体" w:hAnsi="宋体" w:cs="宋体"/>
                <w:szCs w:val="21"/>
              </w:rPr>
              <w:t>；</w:t>
            </w:r>
          </w:p>
          <w:p w14:paraId="66D50FCE">
            <w:pPr>
              <w:keepLines/>
              <w:adjustRightInd w:val="0"/>
              <w:snapToGrid w:val="0"/>
              <w:spacing w:line="360" w:lineRule="exact"/>
              <w:ind w:right="105" w:rightChars="50"/>
              <w:rPr>
                <w:rFonts w:ascii="宋体" w:hAnsi="宋体" w:cs="宋体"/>
                <w:szCs w:val="21"/>
              </w:rPr>
            </w:pPr>
            <w:r>
              <w:rPr>
                <w:rFonts w:hint="eastAsia" w:ascii="宋体" w:hAnsi="宋体" w:cs="宋体"/>
                <w:szCs w:val="21"/>
              </w:rPr>
              <w:t>（4）对评标结果有异议的，投标人或者其他利害关系人应当在中标候选人的公示期间提出。</w:t>
            </w:r>
          </w:p>
          <w:p w14:paraId="3CD9F9E0">
            <w:pPr>
              <w:keepLines/>
              <w:adjustRightInd w:val="0"/>
              <w:snapToGrid w:val="0"/>
              <w:spacing w:line="360" w:lineRule="exact"/>
              <w:rPr>
                <w:bCs/>
                <w:szCs w:val="21"/>
              </w:rPr>
            </w:pPr>
            <w:r>
              <w:rPr>
                <w:rFonts w:hint="eastAsia" w:ascii="宋体" w:hAnsi="宋体" w:cs="宋体"/>
                <w:szCs w:val="21"/>
              </w:rPr>
              <w:t>异议受理的机构：</w:t>
            </w:r>
            <w:r>
              <w:rPr>
                <w:rFonts w:hint="eastAsia" w:ascii="宋体" w:hAnsi="宋体" w:cs="宋体"/>
                <w:color w:val="000000" w:themeColor="text1"/>
                <w:kern w:val="0"/>
                <w:szCs w:val="21"/>
              </w:rPr>
              <w:t>南通浩宏市政工程有限公司</w:t>
            </w:r>
          </w:p>
          <w:p w14:paraId="069B17D5">
            <w:pPr>
              <w:keepLines/>
              <w:adjustRightInd w:val="0"/>
              <w:snapToGrid w:val="0"/>
              <w:spacing w:line="360" w:lineRule="exact"/>
              <w:rPr>
                <w:rFonts w:ascii="宋体" w:hAnsi="宋体" w:cs="宋体"/>
                <w:szCs w:val="21"/>
              </w:rPr>
            </w:pPr>
            <w:r>
              <w:rPr>
                <w:rFonts w:hint="eastAsia" w:ascii="宋体" w:hAnsi="宋体" w:cs="宋体"/>
                <w:szCs w:val="21"/>
              </w:rPr>
              <w:t>电话：</w:t>
            </w:r>
            <w:r>
              <w:rPr>
                <w:rFonts w:hint="eastAsia" w:ascii="宋体" w:hAnsi="宋体" w:cs="宋体"/>
                <w:bCs/>
                <w:kern w:val="0"/>
                <w:szCs w:val="21"/>
              </w:rPr>
              <w:t>0513-86129190</w:t>
            </w:r>
          </w:p>
          <w:p w14:paraId="2A1FB5CC">
            <w:pPr>
              <w:keepLines/>
              <w:adjustRightInd w:val="0"/>
              <w:snapToGrid w:val="0"/>
              <w:spacing w:line="360" w:lineRule="exact"/>
              <w:ind w:right="105" w:rightChars="50"/>
              <w:rPr>
                <w:rFonts w:ascii="宋体" w:hAnsi="宋体" w:cs="宋体"/>
                <w:szCs w:val="21"/>
              </w:rPr>
            </w:pPr>
            <w:r>
              <w:rPr>
                <w:rFonts w:hint="eastAsia" w:ascii="宋体" w:hAnsi="宋体" w:cs="宋体"/>
                <w:szCs w:val="21"/>
              </w:rPr>
              <w:t>地址：</w:t>
            </w:r>
            <w:r>
              <w:rPr>
                <w:rFonts w:hint="eastAsia" w:ascii="宋体" w:hAnsi="宋体" w:cs="宋体"/>
                <w:bCs/>
                <w:kern w:val="0"/>
                <w:szCs w:val="21"/>
              </w:rPr>
              <w:t>通州区江海圆融汇1#8楼</w:t>
            </w:r>
          </w:p>
        </w:tc>
      </w:tr>
    </w:tbl>
    <w:p w14:paraId="7CF00046">
      <w:bookmarkStart w:id="16" w:name="_Toc398107837"/>
    </w:p>
    <w:p w14:paraId="42E6B666"/>
    <w:p w14:paraId="3D70B432"/>
    <w:p w14:paraId="2A13B232"/>
    <w:p w14:paraId="4728253F"/>
    <w:p w14:paraId="13951BD7">
      <w:pPr>
        <w:pStyle w:val="3"/>
        <w:spacing w:line="440" w:lineRule="exact"/>
        <w:jc w:val="center"/>
        <w:rPr>
          <w:rFonts w:ascii="宋体" w:hAnsi="宋体" w:eastAsia="宋体" w:cs="宋体"/>
        </w:rPr>
      </w:pPr>
      <w:r>
        <w:rPr>
          <w:rFonts w:hint="eastAsia" w:ascii="宋体" w:hAnsi="宋体" w:eastAsia="宋体" w:cs="宋体"/>
        </w:rPr>
        <w:t>1、 总则</w:t>
      </w:r>
      <w:bookmarkEnd w:id="16"/>
    </w:p>
    <w:p w14:paraId="21308FCA">
      <w:pPr>
        <w:pStyle w:val="4"/>
        <w:spacing w:line="440" w:lineRule="exact"/>
        <w:rPr>
          <w:rFonts w:ascii="宋体" w:hAnsi="宋体" w:eastAsia="宋体" w:cs="宋体"/>
        </w:rPr>
      </w:pPr>
      <w:bookmarkStart w:id="17" w:name="_Toc398107838"/>
      <w:r>
        <w:rPr>
          <w:rFonts w:hint="eastAsia" w:ascii="宋体" w:hAnsi="宋体" w:eastAsia="宋体" w:cs="宋体"/>
        </w:rPr>
        <w:t>1.1 项目概况</w:t>
      </w:r>
      <w:bookmarkEnd w:id="17"/>
    </w:p>
    <w:p w14:paraId="2AEC6F79">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1.1.1 根据《中华人民共和国招标投标法》、《中华人民共和国招标投标法实施条例》等有关法律、法规和规章的规定，本招标项目已具备招标条件，现对本标段监理及相关服务进行招标。</w:t>
      </w:r>
    </w:p>
    <w:p w14:paraId="38B2AE60">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1.1.2 本招标项目招标人：见投标人须知前附表。</w:t>
      </w:r>
    </w:p>
    <w:p w14:paraId="1A70C1C3">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1.1.3 本标段招标代理机构：见投标人须知前附表。</w:t>
      </w:r>
    </w:p>
    <w:p w14:paraId="3D014214">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1.1.4 本招标项目名称：见投标人须知前附表。</w:t>
      </w:r>
    </w:p>
    <w:p w14:paraId="19236539">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1.1.5 本标段建设地点：见投标人须知前附表。</w:t>
      </w:r>
    </w:p>
    <w:p w14:paraId="4EBA8A56">
      <w:pPr>
        <w:pStyle w:val="4"/>
        <w:spacing w:line="440" w:lineRule="exact"/>
        <w:rPr>
          <w:rFonts w:ascii="宋体" w:hAnsi="宋体" w:eastAsia="宋体" w:cs="宋体"/>
        </w:rPr>
      </w:pPr>
      <w:bookmarkStart w:id="18" w:name="_Toc398107839"/>
      <w:r>
        <w:rPr>
          <w:rFonts w:hint="eastAsia" w:ascii="宋体" w:hAnsi="宋体" w:eastAsia="宋体" w:cs="宋体"/>
        </w:rPr>
        <w:t>1.2 资金来源和落实情况</w:t>
      </w:r>
      <w:bookmarkEnd w:id="18"/>
    </w:p>
    <w:p w14:paraId="1670FB64">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1.2.1 本招标项目的资金来源：见投标人须知前附表。</w:t>
      </w:r>
    </w:p>
    <w:p w14:paraId="7D37AE42">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1.2.2 本招标项目的出资比例：见投标人须知前附表。</w:t>
      </w:r>
    </w:p>
    <w:p w14:paraId="5365E3A3">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1.2.3 本招标项目的资金落实情况：见投标人须知前附表。</w:t>
      </w:r>
    </w:p>
    <w:p w14:paraId="4020FE43">
      <w:pPr>
        <w:pStyle w:val="4"/>
        <w:spacing w:line="440" w:lineRule="exact"/>
        <w:rPr>
          <w:rFonts w:ascii="宋体" w:hAnsi="宋体" w:eastAsia="宋体" w:cs="宋体"/>
        </w:rPr>
      </w:pPr>
      <w:bookmarkStart w:id="19" w:name="_Toc398107840"/>
      <w:r>
        <w:rPr>
          <w:rFonts w:hint="eastAsia" w:ascii="宋体" w:hAnsi="宋体" w:eastAsia="宋体" w:cs="宋体"/>
        </w:rPr>
        <w:t>1.3 招标范围、监理服务期限及质量要求</w:t>
      </w:r>
      <w:bookmarkEnd w:id="19"/>
    </w:p>
    <w:p w14:paraId="70CE8854">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1.3.1 本次招标范围：见投标人须知前附表。</w:t>
      </w:r>
    </w:p>
    <w:p w14:paraId="4A508C6C">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1.3.2 本标段的监理服务期限：见投标人须知前附表。</w:t>
      </w:r>
    </w:p>
    <w:p w14:paraId="35B424ED">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1.3.3 本标段的质量要求：见投标人须知前附表。</w:t>
      </w:r>
    </w:p>
    <w:p w14:paraId="0F1ADA26">
      <w:pPr>
        <w:pStyle w:val="4"/>
        <w:spacing w:line="440" w:lineRule="exact"/>
        <w:rPr>
          <w:rFonts w:ascii="宋体" w:hAnsi="宋体" w:eastAsia="宋体" w:cs="宋体"/>
        </w:rPr>
      </w:pPr>
      <w:bookmarkStart w:id="20" w:name="_Toc398107841"/>
      <w:r>
        <w:rPr>
          <w:rFonts w:hint="eastAsia" w:ascii="宋体" w:hAnsi="宋体" w:eastAsia="宋体" w:cs="宋体"/>
        </w:rPr>
        <w:t>1.4 投标人资格要求</w:t>
      </w:r>
      <w:bookmarkEnd w:id="20"/>
    </w:p>
    <w:p w14:paraId="745325DF">
      <w:pPr>
        <w:autoSpaceDE w:val="0"/>
        <w:autoSpaceDN w:val="0"/>
        <w:adjustRightInd w:val="0"/>
        <w:spacing w:line="440" w:lineRule="exact"/>
        <w:ind w:firstLine="420" w:firstLineChars="200"/>
        <w:jc w:val="left"/>
        <w:rPr>
          <w:rFonts w:ascii="宋体" w:hAnsi="宋体" w:cs="宋体"/>
          <w:kern w:val="0"/>
          <w:szCs w:val="21"/>
        </w:rPr>
      </w:pPr>
      <w:bookmarkStart w:id="21" w:name="_Toc398107842"/>
      <w:r>
        <w:rPr>
          <w:rFonts w:hint="eastAsia" w:ascii="宋体" w:hAnsi="宋体" w:cs="宋体"/>
          <w:kern w:val="0"/>
          <w:szCs w:val="21"/>
        </w:rPr>
        <w:t>1.4.1 投标人应具备的资格要求见投标人须知前附表。</w:t>
      </w:r>
    </w:p>
    <w:p w14:paraId="071797DA">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（1）投标申请人资质要求：见投标人须知前附表；</w:t>
      </w:r>
    </w:p>
    <w:p w14:paraId="3A28A6EF">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（2）</w:t>
      </w:r>
      <w:r>
        <w:rPr>
          <w:rFonts w:hint="eastAsia" w:ascii="宋体" w:hAnsi="宋体"/>
          <w:szCs w:val="21"/>
        </w:rPr>
        <w:t>企业信誉：</w:t>
      </w:r>
      <w:r>
        <w:rPr>
          <w:rFonts w:hint="eastAsia" w:ascii="宋体" w:hAnsi="宋体" w:cs="宋体"/>
          <w:kern w:val="0"/>
          <w:szCs w:val="21"/>
        </w:rPr>
        <w:t>见投标人须知前附表；</w:t>
      </w:r>
    </w:p>
    <w:p w14:paraId="7F78A016">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（3）项目总监资格要求：见投标人须知前附表；</w:t>
      </w:r>
    </w:p>
    <w:p w14:paraId="7DC44465">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（4）</w:t>
      </w:r>
      <w:r>
        <w:rPr>
          <w:rFonts w:hint="eastAsia" w:ascii="宋体" w:hAnsi="宋体"/>
        </w:rPr>
        <w:t>项目总监与拟派监理人员：见投标人须知前附表</w:t>
      </w:r>
      <w:r>
        <w:rPr>
          <w:rFonts w:hint="eastAsia" w:ascii="宋体" w:hAnsi="宋体" w:cs="宋体"/>
          <w:kern w:val="0"/>
          <w:szCs w:val="21"/>
        </w:rPr>
        <w:t>；</w:t>
      </w:r>
    </w:p>
    <w:p w14:paraId="4E0B6E22">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rPr>
        <w:t>（5）监理人员配备：</w:t>
      </w:r>
      <w:r>
        <w:rPr>
          <w:rFonts w:hint="eastAsia" w:ascii="宋体" w:hAnsi="宋体" w:cs="宋体"/>
          <w:kern w:val="0"/>
          <w:szCs w:val="21"/>
        </w:rPr>
        <w:t>见投标人须知前附表；</w:t>
      </w:r>
    </w:p>
    <w:p w14:paraId="6F67F3B2">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（6）拟派监理部人员需满足要求：见投标人须知前附表；</w:t>
      </w:r>
    </w:p>
    <w:p w14:paraId="5103D315">
      <w:pPr>
        <w:pStyle w:val="7"/>
        <w:spacing w:line="440" w:lineRule="exact"/>
        <w:ind w:firstLine="420" w:firstLineChars="200"/>
        <w:rPr>
          <w:rFonts w:ascii="宋体" w:hAnsi="宋体" w:cs="宋体"/>
          <w:kern w:val="0"/>
          <w:szCs w:val="21"/>
        </w:rPr>
      </w:pPr>
      <w:r>
        <w:rPr>
          <w:rFonts w:hint="eastAsia" w:ascii="宋体" w:hAnsi="宋体"/>
          <w:szCs w:val="21"/>
        </w:rPr>
        <w:t>（7）其他要求：</w:t>
      </w:r>
      <w:r>
        <w:rPr>
          <w:rFonts w:hint="eastAsia" w:ascii="宋体" w:hAnsi="宋体" w:cs="宋体"/>
          <w:kern w:val="0"/>
          <w:szCs w:val="21"/>
        </w:rPr>
        <w:t>见投标人须知前附表；</w:t>
      </w:r>
    </w:p>
    <w:p w14:paraId="464BFD51">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1.4.2 投标人须知前附表规定接受联合体投标的，除应符合本章第1.4.1项和投标人须知前附表的要求外，还应遵守以下规定：</w:t>
      </w:r>
    </w:p>
    <w:p w14:paraId="3BA99702">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（1）联合体各方应按招标文件提供的格式签订联合体协议书，明确联合体牵头人和各方的权利义务；</w:t>
      </w:r>
    </w:p>
    <w:p w14:paraId="595AD8AE">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（2）由同一专业的单位组成的联合体，按照资质等级较低的单位确定资质等级；</w:t>
      </w:r>
    </w:p>
    <w:p w14:paraId="61DCE617">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（3）联合体各方不得再以自己名义单独或加入其他联合体在同一标段中参加资格预审。</w:t>
      </w:r>
    </w:p>
    <w:p w14:paraId="6D9D0EEC">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1.4.3 投标人不得存在下列情形之一：</w:t>
      </w:r>
    </w:p>
    <w:p w14:paraId="40928C37">
      <w:pPr>
        <w:spacing w:line="360" w:lineRule="auto"/>
        <w:ind w:firstLine="420" w:firstLineChars="200"/>
        <w:rPr>
          <w:rFonts w:ascii="宋体" w:hAnsi="宋体" w:cs="宋体"/>
          <w:szCs w:val="21"/>
        </w:rPr>
      </w:pPr>
      <w:r>
        <w:rPr>
          <w:rFonts w:hint="eastAsia" w:ascii="宋体" w:hAnsi="宋体" w:cs="宋体"/>
          <w:szCs w:val="21"/>
        </w:rPr>
        <w:t>（1）为招标人不具有独立法人资格的附属机构（单位）；</w:t>
      </w:r>
    </w:p>
    <w:p w14:paraId="07E51108">
      <w:pPr>
        <w:spacing w:line="360" w:lineRule="auto"/>
        <w:ind w:firstLine="420" w:firstLineChars="200"/>
        <w:rPr>
          <w:rFonts w:ascii="宋体" w:hAnsi="宋体" w:cs="宋体"/>
          <w:szCs w:val="21"/>
        </w:rPr>
      </w:pPr>
      <w:r>
        <w:rPr>
          <w:rFonts w:hint="eastAsia" w:ascii="宋体" w:hAnsi="宋体" w:cs="宋体"/>
          <w:szCs w:val="21"/>
        </w:rPr>
        <w:t>（2）与招标人存在利害关系且可能影响招标公正性；</w:t>
      </w:r>
    </w:p>
    <w:p w14:paraId="1B2688E1">
      <w:pPr>
        <w:spacing w:line="360" w:lineRule="auto"/>
        <w:ind w:firstLine="420" w:firstLineChars="200"/>
        <w:rPr>
          <w:rFonts w:ascii="宋体" w:hAnsi="宋体" w:cs="宋体"/>
          <w:szCs w:val="21"/>
        </w:rPr>
      </w:pPr>
      <w:r>
        <w:rPr>
          <w:rFonts w:hint="eastAsia" w:ascii="宋体" w:hAnsi="宋体" w:cs="宋体"/>
          <w:szCs w:val="21"/>
        </w:rPr>
        <w:t>（3）与本招标项目的其他投标人为同一个单位负责人；</w:t>
      </w:r>
    </w:p>
    <w:p w14:paraId="215F6A59">
      <w:pPr>
        <w:spacing w:line="360" w:lineRule="auto"/>
        <w:ind w:firstLine="420" w:firstLineChars="200"/>
        <w:rPr>
          <w:rFonts w:ascii="宋体" w:hAnsi="宋体" w:cs="宋体"/>
          <w:szCs w:val="21"/>
        </w:rPr>
      </w:pPr>
      <w:r>
        <w:rPr>
          <w:rFonts w:hint="eastAsia" w:ascii="宋体" w:hAnsi="宋体" w:cs="宋体"/>
          <w:szCs w:val="21"/>
        </w:rPr>
        <w:t>（4）与本招标项目的其他投标人存在控股、管理关系；</w:t>
      </w:r>
    </w:p>
    <w:p w14:paraId="5AF0C2CC">
      <w:pPr>
        <w:spacing w:line="360" w:lineRule="auto"/>
        <w:ind w:firstLine="420" w:firstLineChars="200"/>
        <w:rPr>
          <w:rFonts w:ascii="宋体" w:hAnsi="宋体" w:cs="宋体"/>
          <w:szCs w:val="21"/>
        </w:rPr>
      </w:pPr>
      <w:r>
        <w:rPr>
          <w:rFonts w:hint="eastAsia" w:ascii="宋体" w:hAnsi="宋体" w:cs="宋体"/>
          <w:szCs w:val="21"/>
        </w:rPr>
        <w:t>（5）为本招标项目的代建人；</w:t>
      </w:r>
    </w:p>
    <w:p w14:paraId="0E64EF13">
      <w:pPr>
        <w:spacing w:line="360" w:lineRule="auto"/>
        <w:ind w:firstLine="420" w:firstLineChars="200"/>
        <w:rPr>
          <w:rFonts w:ascii="宋体" w:hAnsi="宋体" w:cs="宋体"/>
          <w:szCs w:val="21"/>
        </w:rPr>
      </w:pPr>
      <w:r>
        <w:rPr>
          <w:rFonts w:hint="eastAsia" w:ascii="宋体" w:hAnsi="宋体" w:cs="宋体"/>
          <w:szCs w:val="21"/>
        </w:rPr>
        <w:t>（6）为本招标项目的招标代理机构；</w:t>
      </w:r>
    </w:p>
    <w:p w14:paraId="1727EA33">
      <w:pPr>
        <w:spacing w:line="360" w:lineRule="auto"/>
        <w:ind w:firstLine="420" w:firstLineChars="200"/>
        <w:rPr>
          <w:rFonts w:ascii="宋体" w:hAnsi="宋体" w:cs="宋体"/>
          <w:szCs w:val="21"/>
        </w:rPr>
      </w:pPr>
      <w:r>
        <w:rPr>
          <w:rFonts w:hint="eastAsia" w:ascii="宋体" w:hAnsi="宋体" w:cs="宋体"/>
          <w:szCs w:val="21"/>
        </w:rPr>
        <w:t>（7）与本招标项目的代建人或招标代理机构同为一个法宝代表人；</w:t>
      </w:r>
    </w:p>
    <w:p w14:paraId="1297DE91">
      <w:pPr>
        <w:spacing w:line="360" w:lineRule="auto"/>
        <w:ind w:firstLine="420" w:firstLineChars="200"/>
        <w:rPr>
          <w:rFonts w:ascii="宋体" w:hAnsi="宋体" w:cs="宋体"/>
          <w:szCs w:val="21"/>
        </w:rPr>
      </w:pPr>
      <w:r>
        <w:rPr>
          <w:rFonts w:hint="eastAsia" w:ascii="宋体" w:hAnsi="宋体" w:cs="宋体"/>
          <w:szCs w:val="21"/>
        </w:rPr>
        <w:t>（8）与本招标项目的代建人或招标代理机构存在控股或参股关系；</w:t>
      </w:r>
    </w:p>
    <w:p w14:paraId="4469D7DB">
      <w:pPr>
        <w:spacing w:line="360" w:lineRule="auto"/>
        <w:ind w:firstLine="420" w:firstLineChars="200"/>
        <w:rPr>
          <w:rFonts w:ascii="宋体" w:hAnsi="宋体" w:cs="宋体"/>
          <w:szCs w:val="21"/>
        </w:rPr>
      </w:pPr>
      <w:r>
        <w:rPr>
          <w:rFonts w:hint="eastAsia" w:ascii="宋体" w:hAnsi="宋体" w:cs="宋体"/>
          <w:szCs w:val="21"/>
        </w:rPr>
        <w:t>（9）与本招标项目的施工承包人以及建筑材料、建筑构配件和设备供应商有隶属关系或其他利害关系；</w:t>
      </w:r>
    </w:p>
    <w:p w14:paraId="04ED008A">
      <w:pPr>
        <w:spacing w:line="360" w:lineRule="auto"/>
        <w:ind w:firstLine="420" w:firstLineChars="200"/>
        <w:rPr>
          <w:rFonts w:ascii="宋体" w:hAnsi="宋体" w:cs="宋体"/>
          <w:szCs w:val="21"/>
        </w:rPr>
      </w:pPr>
      <w:r>
        <w:rPr>
          <w:rFonts w:hint="eastAsia" w:ascii="宋体" w:hAnsi="宋体" w:cs="宋体"/>
          <w:szCs w:val="21"/>
        </w:rPr>
        <w:t>（10）被依法暂停或者取消投标资格；</w:t>
      </w:r>
    </w:p>
    <w:p w14:paraId="2BD48352">
      <w:pPr>
        <w:spacing w:line="360" w:lineRule="auto"/>
        <w:ind w:firstLine="420" w:firstLineChars="200"/>
        <w:rPr>
          <w:rFonts w:ascii="宋体" w:hAnsi="宋体" w:cs="宋体"/>
          <w:szCs w:val="21"/>
        </w:rPr>
      </w:pPr>
      <w:r>
        <w:rPr>
          <w:rFonts w:hint="eastAsia" w:ascii="宋体" w:hAnsi="宋体" w:cs="宋体"/>
          <w:szCs w:val="21"/>
        </w:rPr>
        <w:t>（11）被责令停产停业、暂扣或者吊销许可证、暂扣或者吊销执照；</w:t>
      </w:r>
    </w:p>
    <w:p w14:paraId="2F280CE3">
      <w:pPr>
        <w:spacing w:line="360" w:lineRule="auto"/>
        <w:ind w:firstLine="420" w:firstLineChars="200"/>
        <w:rPr>
          <w:rFonts w:ascii="宋体" w:hAnsi="宋体" w:cs="宋体"/>
          <w:szCs w:val="21"/>
        </w:rPr>
      </w:pPr>
      <w:r>
        <w:rPr>
          <w:rFonts w:hint="eastAsia" w:ascii="宋体" w:hAnsi="宋体" w:cs="宋体"/>
          <w:szCs w:val="21"/>
        </w:rPr>
        <w:t>（12）进入清算程序，或被宣告破产，或其他丧失履约能力的情形；</w:t>
      </w:r>
    </w:p>
    <w:p w14:paraId="73F24FBE">
      <w:pPr>
        <w:spacing w:line="360" w:lineRule="auto"/>
        <w:ind w:firstLine="420" w:firstLineChars="200"/>
        <w:rPr>
          <w:rFonts w:ascii="宋体" w:hAnsi="宋体" w:cs="宋体"/>
          <w:szCs w:val="21"/>
        </w:rPr>
      </w:pPr>
      <w:r>
        <w:rPr>
          <w:rFonts w:hint="eastAsia" w:ascii="宋体" w:hAnsi="宋体" w:cs="宋体"/>
          <w:szCs w:val="21"/>
        </w:rPr>
        <w:t>（14）在最近三年内发生重大监理质量问题（以相关行业主管部门的行政处罚决定或司法机关出具的有关法律文书为准）；</w:t>
      </w:r>
    </w:p>
    <w:p w14:paraId="30662B5F">
      <w:pPr>
        <w:spacing w:line="360" w:lineRule="auto"/>
        <w:ind w:firstLine="420" w:firstLineChars="200"/>
        <w:rPr>
          <w:rFonts w:ascii="宋体" w:hAnsi="宋体" w:cs="宋体"/>
          <w:szCs w:val="21"/>
        </w:rPr>
      </w:pPr>
      <w:r>
        <w:rPr>
          <w:rFonts w:hint="eastAsia" w:ascii="宋体" w:hAnsi="宋体" w:cs="宋体"/>
          <w:szCs w:val="21"/>
        </w:rPr>
        <w:t>（14）被工商行政管理机关在全国企业信用信息公示系统中列入严重违法失信企业名单；</w:t>
      </w:r>
    </w:p>
    <w:p w14:paraId="1D31D6D3">
      <w:pPr>
        <w:spacing w:line="360" w:lineRule="auto"/>
        <w:ind w:firstLine="420" w:firstLineChars="200"/>
        <w:rPr>
          <w:rFonts w:ascii="宋体" w:hAnsi="宋体" w:cs="宋体"/>
          <w:szCs w:val="21"/>
        </w:rPr>
      </w:pPr>
      <w:r>
        <w:rPr>
          <w:rFonts w:hint="eastAsia" w:ascii="宋体" w:hAnsi="宋体" w:cs="宋体"/>
          <w:szCs w:val="21"/>
        </w:rPr>
        <w:t>（15）被最高人民法院在“信用中国”网站（www.creditchina.gov.cn）或各级信用信息共享平台中列入失信被告执行名单。</w:t>
      </w:r>
    </w:p>
    <w:p w14:paraId="77A76AA7">
      <w:pPr>
        <w:pStyle w:val="4"/>
        <w:spacing w:line="440" w:lineRule="exact"/>
        <w:ind w:firstLine="420" w:firstLineChars="200"/>
        <w:rPr>
          <w:rFonts w:ascii="宋体" w:hAnsi="宋体" w:eastAsia="宋体" w:cs="宋体"/>
          <w:bCs w:val="0"/>
          <w:kern w:val="2"/>
          <w:sz w:val="21"/>
          <w:szCs w:val="21"/>
        </w:rPr>
      </w:pPr>
      <w:r>
        <w:rPr>
          <w:rFonts w:hint="eastAsia" w:ascii="宋体" w:hAnsi="宋体" w:eastAsia="宋体" w:cs="宋体"/>
          <w:bCs w:val="0"/>
          <w:kern w:val="2"/>
          <w:sz w:val="21"/>
          <w:szCs w:val="21"/>
        </w:rPr>
        <w:t>（16）法律法规规定的其它情形。</w:t>
      </w:r>
    </w:p>
    <w:p w14:paraId="17DCC153">
      <w:pPr>
        <w:pStyle w:val="4"/>
        <w:spacing w:line="440" w:lineRule="exact"/>
        <w:rPr>
          <w:rFonts w:ascii="宋体" w:hAnsi="宋体" w:eastAsia="宋体" w:cs="宋体"/>
        </w:rPr>
      </w:pPr>
      <w:r>
        <w:rPr>
          <w:rFonts w:hint="eastAsia" w:ascii="宋体" w:hAnsi="宋体" w:eastAsia="宋体" w:cs="宋体"/>
        </w:rPr>
        <w:t>1.5 费用承担</w:t>
      </w:r>
      <w:bookmarkEnd w:id="21"/>
    </w:p>
    <w:p w14:paraId="1B79C60E">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1.5.1投标人准备和参加投标活动发生的费用自理。</w:t>
      </w:r>
    </w:p>
    <w:p w14:paraId="7E2E8AC1">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1.5.2</w:t>
      </w:r>
      <w:r>
        <w:rPr>
          <w:rFonts w:hint="eastAsia" w:ascii="宋体" w:hAnsi="宋体" w:cs="宋体"/>
          <w:b/>
          <w:bCs/>
          <w:kern w:val="0"/>
          <w:szCs w:val="21"/>
        </w:rPr>
        <w:t>招标代理费5000元</w:t>
      </w:r>
      <w:r>
        <w:rPr>
          <w:rFonts w:hint="eastAsia" w:ascii="宋体" w:hAnsi="宋体" w:cs="宋体"/>
          <w:kern w:val="0"/>
          <w:szCs w:val="21"/>
        </w:rPr>
        <w:t>，由中标人支付。</w:t>
      </w:r>
    </w:p>
    <w:p w14:paraId="7A2B1049">
      <w:pPr>
        <w:pStyle w:val="4"/>
        <w:spacing w:line="440" w:lineRule="exact"/>
        <w:rPr>
          <w:rFonts w:ascii="宋体" w:hAnsi="宋体" w:eastAsia="宋体" w:cs="宋体"/>
        </w:rPr>
      </w:pPr>
      <w:bookmarkStart w:id="22" w:name="_Toc398107843"/>
      <w:r>
        <w:rPr>
          <w:rFonts w:hint="eastAsia" w:ascii="宋体" w:hAnsi="宋体" w:eastAsia="宋体" w:cs="宋体"/>
        </w:rPr>
        <w:t>1.6 保密</w:t>
      </w:r>
      <w:bookmarkEnd w:id="22"/>
    </w:p>
    <w:p w14:paraId="132AEDB2">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参与招标投标活动的各方应对招标文件和投标文件中的商业和技术等秘密保密，违者应对由此造成的后果承担法律责任。</w:t>
      </w:r>
    </w:p>
    <w:p w14:paraId="19926E66">
      <w:pPr>
        <w:pStyle w:val="4"/>
        <w:spacing w:line="440" w:lineRule="exact"/>
        <w:rPr>
          <w:rFonts w:ascii="宋体" w:hAnsi="宋体" w:eastAsia="宋体" w:cs="宋体"/>
        </w:rPr>
      </w:pPr>
      <w:bookmarkStart w:id="23" w:name="_Toc398107844"/>
      <w:r>
        <w:rPr>
          <w:rFonts w:hint="eastAsia" w:ascii="宋体" w:hAnsi="宋体" w:eastAsia="宋体" w:cs="宋体"/>
        </w:rPr>
        <w:t>1.7 语言文字</w:t>
      </w:r>
      <w:bookmarkEnd w:id="23"/>
    </w:p>
    <w:p w14:paraId="21A4D2A7">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除专用术语外，与招标投标有关的语言均使用简体中文。必要时专用术语应附有中文注释。</w:t>
      </w:r>
    </w:p>
    <w:p w14:paraId="45EF41B1">
      <w:pPr>
        <w:pStyle w:val="4"/>
        <w:spacing w:line="440" w:lineRule="exact"/>
        <w:rPr>
          <w:rFonts w:ascii="宋体" w:hAnsi="宋体" w:eastAsia="宋体" w:cs="宋体"/>
        </w:rPr>
      </w:pPr>
      <w:bookmarkStart w:id="24" w:name="_Toc398107845"/>
      <w:r>
        <w:rPr>
          <w:rFonts w:hint="eastAsia" w:ascii="宋体" w:hAnsi="宋体" w:eastAsia="宋体" w:cs="宋体"/>
        </w:rPr>
        <w:t>1.8 计量单位</w:t>
      </w:r>
      <w:bookmarkEnd w:id="24"/>
    </w:p>
    <w:p w14:paraId="16CF8377">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所有计量均采用中华人民共和国法定计量单位。</w:t>
      </w:r>
    </w:p>
    <w:p w14:paraId="037F7144">
      <w:pPr>
        <w:pStyle w:val="4"/>
        <w:spacing w:line="440" w:lineRule="exact"/>
        <w:rPr>
          <w:rFonts w:ascii="宋体" w:hAnsi="宋体" w:eastAsia="宋体" w:cs="宋体"/>
        </w:rPr>
      </w:pPr>
      <w:bookmarkStart w:id="25" w:name="_Toc398107846"/>
      <w:r>
        <w:rPr>
          <w:rFonts w:hint="eastAsia" w:ascii="宋体" w:hAnsi="宋体" w:eastAsia="宋体" w:cs="宋体"/>
        </w:rPr>
        <w:t>1.9 踏勘现场</w:t>
      </w:r>
      <w:bookmarkEnd w:id="25"/>
    </w:p>
    <w:p w14:paraId="1BE68568">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1.9.1招标人不组织投标人踏勘现场，投标人可以自行对工程施工现场和周围环境进行勘察，以获取编制投标文件和签署合同所需的所有资料。施工现场的联系方式见须知前附表。</w:t>
      </w:r>
    </w:p>
    <w:p w14:paraId="40A461C3">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1.9.2 投标人踏勘现场发生的费用自理。</w:t>
      </w:r>
    </w:p>
    <w:p w14:paraId="6B42760D">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1.9.3 除招标人的原因外，投标人自行负责在踏勘现场中所发生的人员伤亡和财产损失。</w:t>
      </w:r>
    </w:p>
    <w:p w14:paraId="02E5A70E">
      <w:pPr>
        <w:autoSpaceDE w:val="0"/>
        <w:autoSpaceDN w:val="0"/>
        <w:adjustRightInd w:val="0"/>
        <w:spacing w:line="440" w:lineRule="exact"/>
        <w:ind w:firstLine="420" w:firstLineChars="200"/>
        <w:jc w:val="left"/>
        <w:rPr>
          <w:rFonts w:ascii="宋体" w:hAnsi="宋体" w:cs="宋体"/>
        </w:rPr>
      </w:pPr>
      <w:r>
        <w:rPr>
          <w:rFonts w:hint="eastAsia" w:ascii="宋体" w:hAnsi="宋体" w:cs="宋体"/>
          <w:kern w:val="0"/>
          <w:szCs w:val="21"/>
        </w:rPr>
        <w:t>1.9.4 招标人向投标人提供的有关施工现场的资料和数据是招标人现有的能使投标人利用的资料。招标人对投标人由此而做出的推论、理解和结论概不负责。</w:t>
      </w:r>
    </w:p>
    <w:p w14:paraId="07E52998">
      <w:pPr>
        <w:pStyle w:val="3"/>
        <w:spacing w:line="440" w:lineRule="exact"/>
        <w:jc w:val="center"/>
        <w:rPr>
          <w:rFonts w:ascii="宋体" w:hAnsi="宋体" w:eastAsia="宋体" w:cs="宋体"/>
          <w:b/>
          <w:sz w:val="24"/>
          <w:szCs w:val="24"/>
        </w:rPr>
      </w:pPr>
      <w:bookmarkStart w:id="26" w:name="_Toc398107848"/>
      <w:r>
        <w:rPr>
          <w:rFonts w:hint="eastAsia" w:ascii="宋体" w:hAnsi="宋体" w:eastAsia="宋体" w:cs="宋体"/>
          <w:b/>
          <w:sz w:val="24"/>
          <w:szCs w:val="24"/>
        </w:rPr>
        <w:t>2  招标文件</w:t>
      </w:r>
    </w:p>
    <w:p w14:paraId="0B0FEB78">
      <w:pPr>
        <w:pStyle w:val="3"/>
        <w:spacing w:line="440" w:lineRule="exact"/>
        <w:rPr>
          <w:rFonts w:ascii="宋体" w:hAnsi="宋体" w:eastAsia="宋体" w:cs="宋体"/>
          <w:b/>
          <w:sz w:val="24"/>
          <w:szCs w:val="24"/>
        </w:rPr>
      </w:pPr>
      <w:r>
        <w:rPr>
          <w:rFonts w:hint="eastAsia" w:ascii="宋体" w:hAnsi="宋体" w:eastAsia="宋体" w:cs="宋体"/>
          <w:b/>
          <w:sz w:val="24"/>
          <w:szCs w:val="24"/>
        </w:rPr>
        <w:t>2.1 招标文件的组成</w:t>
      </w:r>
    </w:p>
    <w:p w14:paraId="5413D915">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2.1.1 本招标文件包括：</w:t>
      </w:r>
    </w:p>
    <w:p w14:paraId="1F048369">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（1）招标公告；</w:t>
      </w:r>
    </w:p>
    <w:p w14:paraId="1503933A">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（2）投标人须知；</w:t>
      </w:r>
    </w:p>
    <w:p w14:paraId="16F0133E">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（3）评标办法；</w:t>
      </w:r>
    </w:p>
    <w:p w14:paraId="73987DB9">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（4）合同条款及格式；</w:t>
      </w:r>
    </w:p>
    <w:p w14:paraId="2824A63E">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（5）投标文件格式。</w:t>
      </w:r>
    </w:p>
    <w:p w14:paraId="1126D88C">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2.1.2 根据本章第2.2款和第2.3款对招标文件所作的澄清、修改，构成招标文件的组成部分。当招标文件相互之间发生矛盾时，以后发出的文件为准。</w:t>
      </w:r>
    </w:p>
    <w:p w14:paraId="6B6D6A3E">
      <w:pPr>
        <w:pStyle w:val="3"/>
        <w:spacing w:line="440" w:lineRule="exact"/>
        <w:rPr>
          <w:rFonts w:ascii="宋体" w:hAnsi="宋体" w:eastAsia="宋体" w:cs="宋体"/>
          <w:b/>
          <w:sz w:val="24"/>
          <w:szCs w:val="24"/>
        </w:rPr>
      </w:pPr>
      <w:r>
        <w:rPr>
          <w:rFonts w:hint="eastAsia" w:ascii="宋体" w:hAnsi="宋体" w:eastAsia="宋体" w:cs="宋体"/>
          <w:b/>
          <w:sz w:val="24"/>
          <w:szCs w:val="24"/>
        </w:rPr>
        <w:t>2.2 招标文件的澄清</w:t>
      </w:r>
    </w:p>
    <w:p w14:paraId="6A3EF37C">
      <w:pPr>
        <w:autoSpaceDE w:val="0"/>
        <w:autoSpaceDN w:val="0"/>
        <w:adjustRightInd w:val="0"/>
        <w:spacing w:line="440" w:lineRule="exact"/>
        <w:ind w:firstLine="420" w:firstLineChars="200"/>
        <w:jc w:val="left"/>
        <w:rPr>
          <w:rFonts w:ascii="宋体" w:hAnsi="宋体" w:cs="宋体"/>
          <w:szCs w:val="21"/>
        </w:rPr>
      </w:pPr>
      <w:r>
        <w:rPr>
          <w:rFonts w:hint="eastAsia" w:ascii="宋体" w:hAnsi="宋体" w:cs="宋体"/>
          <w:kern w:val="0"/>
          <w:szCs w:val="21"/>
        </w:rPr>
        <w:t xml:space="preserve">2.2.1 </w:t>
      </w:r>
      <w:r>
        <w:rPr>
          <w:rFonts w:hint="eastAsia" w:ascii="宋体" w:hAnsi="宋体" w:cs="宋体"/>
          <w:szCs w:val="21"/>
        </w:rPr>
        <w:t>投标人应仔细阅读和检查招标文件的全部内容，投标人如有疑问，应在投标人须知前附表规定的时间，通过“电子招标投标交易平台”提交，要求招标人对招标文件予以澄清。</w:t>
      </w:r>
    </w:p>
    <w:p w14:paraId="4F492F87">
      <w:pPr>
        <w:spacing w:line="360" w:lineRule="auto"/>
        <w:ind w:firstLine="422" w:firstLineChars="200"/>
        <w:rPr>
          <w:rFonts w:ascii="宋体" w:hAnsi="宋体" w:cs="宋体"/>
          <w:szCs w:val="21"/>
        </w:rPr>
      </w:pPr>
      <w:r>
        <w:rPr>
          <w:rFonts w:hint="eastAsia" w:ascii="宋体" w:hAnsi="宋体" w:cs="宋体"/>
          <w:b/>
          <w:szCs w:val="21"/>
        </w:rPr>
        <w:t>投标人不在澄清期限内提出，招标人有权不予答复。</w:t>
      </w:r>
    </w:p>
    <w:p w14:paraId="44E5CFE4">
      <w:pPr>
        <w:spacing w:line="360" w:lineRule="auto"/>
        <w:ind w:firstLine="420" w:firstLineChars="200"/>
        <w:rPr>
          <w:rFonts w:ascii="宋体" w:hAnsi="宋体" w:cs="宋体"/>
          <w:szCs w:val="21"/>
        </w:rPr>
      </w:pPr>
      <w:r>
        <w:rPr>
          <w:rFonts w:hint="eastAsia" w:ascii="宋体" w:hAnsi="宋体" w:cs="宋体"/>
          <w:kern w:val="0"/>
          <w:szCs w:val="21"/>
        </w:rPr>
        <w:t xml:space="preserve">2.2.2 </w:t>
      </w:r>
      <w:r>
        <w:rPr>
          <w:rFonts w:hint="eastAsia" w:ascii="宋体" w:hAnsi="宋体" w:cs="宋体"/>
          <w:szCs w:val="21"/>
        </w:rPr>
        <w:t>招标文件的澄清将在投标人须知前附表规定时间前</w:t>
      </w:r>
      <w:r>
        <w:rPr>
          <w:rFonts w:hint="eastAsia" w:ascii="宋体" w:cs="宋体"/>
          <w:kern w:val="0"/>
          <w:szCs w:val="21"/>
          <w:highlight w:val="white"/>
        </w:rPr>
        <w:t>通过</w:t>
      </w:r>
      <w:r>
        <w:rPr>
          <w:rFonts w:hint="eastAsia" w:ascii="宋体" w:hAnsi="宋体" w:cs="宋体"/>
          <w:szCs w:val="21"/>
        </w:rPr>
        <w:t>“电子招标投标交易平台”发给所有投标人，但招标人不指明澄清问题的来源，招标人不再另行通知。</w:t>
      </w:r>
    </w:p>
    <w:p w14:paraId="32959D36">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 xml:space="preserve">2.2.3 </w:t>
      </w:r>
      <w:r>
        <w:rPr>
          <w:rFonts w:hint="eastAsia" w:ascii="宋体" w:hAnsi="宋体" w:cs="宋体"/>
          <w:szCs w:val="21"/>
        </w:rPr>
        <w:t>澄清文件按本章第2.2.2款规定发出之时起，视为投标人已收到该澄清文件。投标人未及时通过“电子招标投标交易平台”查阅招标文件的澄清，或未按照澄清后的招标文件编制投标文件，由此造成的后果由投标人自行承担。</w:t>
      </w:r>
    </w:p>
    <w:p w14:paraId="52C038AF">
      <w:pPr>
        <w:pStyle w:val="3"/>
        <w:spacing w:line="440" w:lineRule="exact"/>
        <w:rPr>
          <w:rFonts w:ascii="宋体" w:hAnsi="宋体" w:eastAsia="宋体" w:cs="宋体"/>
          <w:b/>
          <w:sz w:val="24"/>
          <w:szCs w:val="24"/>
        </w:rPr>
      </w:pPr>
      <w:r>
        <w:rPr>
          <w:rFonts w:hint="eastAsia" w:ascii="宋体" w:hAnsi="宋体" w:eastAsia="宋体" w:cs="宋体"/>
          <w:b/>
          <w:sz w:val="24"/>
          <w:szCs w:val="24"/>
        </w:rPr>
        <w:t>2.3 招标文件的修改和补充</w:t>
      </w:r>
    </w:p>
    <w:p w14:paraId="5C42A96F">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 xml:space="preserve">2.3.1 </w:t>
      </w:r>
      <w:r>
        <w:rPr>
          <w:rFonts w:hint="eastAsia" w:ascii="宋体" w:hAnsi="宋体" w:cs="宋体"/>
          <w:szCs w:val="21"/>
        </w:rPr>
        <w:t>招标文件发布后，招标人确需对招标文件进行修改的，招标人将</w:t>
      </w:r>
      <w:r>
        <w:rPr>
          <w:rFonts w:hint="eastAsia" w:ascii="宋体" w:hAnsi="宋体" w:cs="宋体"/>
          <w:kern w:val="0"/>
          <w:szCs w:val="21"/>
        </w:rPr>
        <w:t>通过</w:t>
      </w:r>
      <w:r>
        <w:rPr>
          <w:rFonts w:hint="eastAsia" w:ascii="宋体" w:hAnsi="宋体" w:cs="宋体"/>
          <w:szCs w:val="21"/>
        </w:rPr>
        <w:t>“电子招标投标交易平台”发给所有投标人。</w:t>
      </w:r>
    </w:p>
    <w:p w14:paraId="193B5BC2">
      <w:pPr>
        <w:autoSpaceDE w:val="0"/>
        <w:autoSpaceDN w:val="0"/>
        <w:adjustRightInd w:val="0"/>
        <w:spacing w:line="400" w:lineRule="exact"/>
        <w:ind w:firstLine="420" w:firstLineChars="200"/>
        <w:jc w:val="left"/>
        <w:rPr>
          <w:rFonts w:ascii="宋体" w:hAnsi="宋体" w:cs="宋体"/>
          <w:szCs w:val="21"/>
        </w:rPr>
      </w:pPr>
      <w:r>
        <w:rPr>
          <w:rFonts w:hint="eastAsia" w:ascii="宋体" w:hAnsi="宋体" w:cs="宋体"/>
          <w:kern w:val="0"/>
          <w:szCs w:val="21"/>
        </w:rPr>
        <w:t xml:space="preserve">2.3.2 </w:t>
      </w:r>
      <w:r>
        <w:rPr>
          <w:rFonts w:hint="eastAsia" w:ascii="宋体" w:hAnsi="宋体" w:cs="宋体"/>
          <w:szCs w:val="21"/>
        </w:rPr>
        <w:t>修改文件按本章第2.3.1款规定发出之时起，视为投标人已收到该修改文件。投标人未及时通过“电子招标投标交易平台”查阅招标文件的修改，或未按照修改后的招标文件编制投标文件，由此造成的后果由投标人自行承担。</w:t>
      </w:r>
    </w:p>
    <w:p w14:paraId="64BBB113">
      <w:pPr>
        <w:autoSpaceDE w:val="0"/>
        <w:autoSpaceDN w:val="0"/>
        <w:adjustRightInd w:val="0"/>
        <w:spacing w:line="400" w:lineRule="exact"/>
        <w:jc w:val="left"/>
        <w:rPr>
          <w:rFonts w:ascii="宋体" w:hAnsi="宋体" w:cs="宋体"/>
          <w:bCs/>
          <w:kern w:val="0"/>
          <w:sz w:val="24"/>
          <w:szCs w:val="32"/>
        </w:rPr>
      </w:pPr>
      <w:r>
        <w:rPr>
          <w:rFonts w:hint="eastAsia" w:ascii="宋体" w:hAnsi="宋体" w:cs="宋体"/>
          <w:bCs/>
          <w:kern w:val="0"/>
          <w:sz w:val="24"/>
          <w:szCs w:val="32"/>
        </w:rPr>
        <w:t>2.4招标控制价</w:t>
      </w:r>
    </w:p>
    <w:p w14:paraId="3F538187">
      <w:pPr>
        <w:autoSpaceDE w:val="0"/>
        <w:autoSpaceDN w:val="0"/>
        <w:adjustRightInd w:val="0"/>
        <w:spacing w:line="400" w:lineRule="exact"/>
        <w:ind w:firstLine="420" w:firstLineChars="200"/>
        <w:jc w:val="left"/>
        <w:rPr>
          <w:rFonts w:ascii="宋体" w:hAnsi="宋体" w:cs="宋体"/>
          <w:szCs w:val="21"/>
        </w:rPr>
      </w:pPr>
      <w:r>
        <w:rPr>
          <w:rFonts w:hint="eastAsia" w:ascii="宋体" w:hAnsi="宋体" w:cs="宋体"/>
          <w:szCs w:val="21"/>
        </w:rPr>
        <w:t>本项目招标控制价：监理人从事本项目监理活动所需的一切费用（招标人不提供监理人员办公用房），包括监理人员、交通工具、监理设施、测量仪器、常用试验器具、办公、通讯等一切费用.</w:t>
      </w:r>
    </w:p>
    <w:p w14:paraId="3D8733EA">
      <w:pPr>
        <w:pStyle w:val="3"/>
        <w:spacing w:line="400" w:lineRule="exact"/>
        <w:jc w:val="center"/>
        <w:rPr>
          <w:rFonts w:ascii="宋体" w:hAnsi="宋体" w:eastAsia="宋体" w:cs="宋体"/>
          <w:b/>
          <w:sz w:val="24"/>
          <w:szCs w:val="24"/>
        </w:rPr>
      </w:pPr>
      <w:r>
        <w:rPr>
          <w:rFonts w:hint="eastAsia" w:ascii="宋体" w:hAnsi="宋体" w:eastAsia="宋体" w:cs="宋体"/>
          <w:b/>
          <w:sz w:val="24"/>
          <w:szCs w:val="24"/>
        </w:rPr>
        <w:t>3  投标文件</w:t>
      </w:r>
    </w:p>
    <w:p w14:paraId="79315A8F">
      <w:pPr>
        <w:pStyle w:val="3"/>
        <w:spacing w:line="400" w:lineRule="exact"/>
        <w:rPr>
          <w:rFonts w:ascii="宋体" w:hAnsi="宋体" w:eastAsia="宋体" w:cs="宋体"/>
          <w:b/>
          <w:sz w:val="24"/>
          <w:szCs w:val="24"/>
        </w:rPr>
      </w:pPr>
      <w:r>
        <w:rPr>
          <w:rFonts w:hint="eastAsia" w:ascii="宋体" w:hAnsi="宋体" w:eastAsia="宋体" w:cs="宋体"/>
          <w:b/>
          <w:sz w:val="24"/>
          <w:szCs w:val="24"/>
        </w:rPr>
        <w:t>3.1 投标文件的组成</w:t>
      </w:r>
    </w:p>
    <w:p w14:paraId="57878135">
      <w:pPr>
        <w:autoSpaceDE w:val="0"/>
        <w:autoSpaceDN w:val="0"/>
        <w:adjustRightInd w:val="0"/>
        <w:spacing w:line="400" w:lineRule="exact"/>
        <w:ind w:firstLine="420" w:firstLineChars="200"/>
        <w:jc w:val="left"/>
        <w:rPr>
          <w:rFonts w:ascii="宋体" w:hAnsi="宋体" w:cs="宋体"/>
          <w:kern w:val="0"/>
          <w:szCs w:val="21"/>
        </w:rPr>
      </w:pPr>
      <w:r>
        <w:rPr>
          <w:rFonts w:hint="eastAsia" w:ascii="宋体" w:hAnsi="宋体" w:cs="宋体"/>
          <w:kern w:val="0"/>
          <w:szCs w:val="21"/>
        </w:rPr>
        <w:t>3.1.1 投标文件的组成见投标人须知前附表。</w:t>
      </w:r>
    </w:p>
    <w:p w14:paraId="59D17701">
      <w:pPr>
        <w:autoSpaceDE w:val="0"/>
        <w:autoSpaceDN w:val="0"/>
        <w:adjustRightInd w:val="0"/>
        <w:spacing w:line="400" w:lineRule="exact"/>
        <w:ind w:firstLine="420" w:firstLineChars="200"/>
        <w:jc w:val="left"/>
        <w:rPr>
          <w:rFonts w:ascii="宋体" w:hAnsi="宋体" w:cs="宋体"/>
          <w:kern w:val="0"/>
          <w:szCs w:val="21"/>
        </w:rPr>
      </w:pPr>
      <w:r>
        <w:rPr>
          <w:rFonts w:hint="eastAsia" w:ascii="宋体" w:hAnsi="宋体" w:cs="宋体"/>
          <w:kern w:val="0"/>
          <w:szCs w:val="21"/>
        </w:rPr>
        <w:t xml:space="preserve">3.1.2 </w:t>
      </w:r>
      <w:r>
        <w:rPr>
          <w:rFonts w:hint="eastAsia" w:ascii="宋体" w:hAnsi="宋体" w:cs="宋体"/>
          <w:szCs w:val="21"/>
        </w:rPr>
        <w:t>招标文件“第五章 投标文件格式”有规定格式要求的，投标人应按规定的格式填写并按要求提交相关的证明材料。</w:t>
      </w:r>
    </w:p>
    <w:p w14:paraId="6F085DF1">
      <w:pPr>
        <w:pStyle w:val="3"/>
        <w:spacing w:line="400" w:lineRule="exact"/>
        <w:rPr>
          <w:rFonts w:ascii="宋体" w:hAnsi="宋体" w:eastAsia="宋体" w:cs="宋体"/>
          <w:b/>
          <w:sz w:val="24"/>
          <w:szCs w:val="24"/>
        </w:rPr>
      </w:pPr>
      <w:r>
        <w:rPr>
          <w:rFonts w:hint="eastAsia" w:ascii="宋体" w:hAnsi="宋体" w:eastAsia="宋体" w:cs="宋体"/>
          <w:b/>
          <w:sz w:val="24"/>
          <w:szCs w:val="24"/>
        </w:rPr>
        <w:t>3.2 投标报价</w:t>
      </w:r>
    </w:p>
    <w:p w14:paraId="133C37F2">
      <w:pPr>
        <w:autoSpaceDE w:val="0"/>
        <w:autoSpaceDN w:val="0"/>
        <w:adjustRightInd w:val="0"/>
        <w:spacing w:line="400" w:lineRule="exact"/>
        <w:ind w:firstLine="420" w:firstLineChars="200"/>
        <w:jc w:val="left"/>
        <w:rPr>
          <w:rFonts w:ascii="宋体" w:hAnsi="宋体" w:cs="宋体"/>
          <w:kern w:val="0"/>
          <w:szCs w:val="21"/>
        </w:rPr>
      </w:pPr>
      <w:r>
        <w:rPr>
          <w:rFonts w:hint="eastAsia" w:ascii="宋体" w:hAnsi="宋体" w:cs="宋体"/>
          <w:kern w:val="0"/>
          <w:szCs w:val="21"/>
        </w:rPr>
        <w:t>3.2.1 投标报价应包含在监理服务期内完成本招标文件所列监理范围全部监理工作内容所需的所有费用，由施工阶段监理费报价和其他费用组成。</w:t>
      </w:r>
    </w:p>
    <w:p w14:paraId="15E5A013">
      <w:pPr>
        <w:autoSpaceDE w:val="0"/>
        <w:autoSpaceDN w:val="0"/>
        <w:adjustRightInd w:val="0"/>
        <w:spacing w:line="400" w:lineRule="exact"/>
        <w:ind w:firstLine="420" w:firstLineChars="200"/>
        <w:jc w:val="left"/>
        <w:rPr>
          <w:rFonts w:ascii="宋体" w:hAnsi="宋体" w:cs="宋体"/>
          <w:kern w:val="0"/>
          <w:szCs w:val="21"/>
        </w:rPr>
      </w:pPr>
      <w:r>
        <w:rPr>
          <w:rFonts w:hint="eastAsia" w:ascii="宋体" w:hAnsi="宋体" w:cs="宋体"/>
          <w:kern w:val="0"/>
          <w:szCs w:val="21"/>
        </w:rPr>
        <w:t>3.2.2 投标人应根据本项目实际情况及公司自身水平在投标报价时综合考虑各方面因素，本项目无论工程施工时间是否延长均不另外计取监理服务费。</w:t>
      </w:r>
    </w:p>
    <w:p w14:paraId="0C1011B8">
      <w:pPr>
        <w:pStyle w:val="3"/>
        <w:spacing w:line="400" w:lineRule="exact"/>
        <w:rPr>
          <w:rFonts w:ascii="宋体" w:hAnsi="宋体" w:eastAsia="宋体" w:cs="宋体"/>
          <w:b/>
          <w:sz w:val="24"/>
          <w:szCs w:val="24"/>
        </w:rPr>
      </w:pPr>
      <w:r>
        <w:rPr>
          <w:rFonts w:hint="eastAsia" w:ascii="宋体" w:hAnsi="宋体" w:eastAsia="宋体" w:cs="宋体"/>
          <w:b/>
          <w:sz w:val="24"/>
          <w:szCs w:val="24"/>
        </w:rPr>
        <w:t>3.3 投标有效期</w:t>
      </w:r>
    </w:p>
    <w:p w14:paraId="6C70D8D5">
      <w:pPr>
        <w:spacing w:line="400" w:lineRule="exact"/>
        <w:ind w:firstLine="420" w:firstLineChars="200"/>
        <w:rPr>
          <w:rFonts w:ascii="宋体" w:hAnsi="宋体" w:cs="宋体"/>
          <w:szCs w:val="21"/>
        </w:rPr>
      </w:pPr>
      <w:r>
        <w:rPr>
          <w:rFonts w:hint="eastAsia" w:ascii="宋体" w:hAnsi="宋体" w:cs="宋体"/>
          <w:szCs w:val="21"/>
        </w:rPr>
        <w:t>3.3.1 在投标人须知前附表规定的投标有效期内，投标人不得要求撤销或修改其投标文件。</w:t>
      </w:r>
    </w:p>
    <w:p w14:paraId="60D7C135">
      <w:pPr>
        <w:spacing w:line="400" w:lineRule="exact"/>
        <w:ind w:firstLine="420" w:firstLineChars="200"/>
        <w:rPr>
          <w:rFonts w:ascii="宋体" w:hAnsi="宋体" w:cs="宋体"/>
          <w:szCs w:val="21"/>
        </w:rPr>
      </w:pPr>
      <w:r>
        <w:rPr>
          <w:rFonts w:hint="eastAsia" w:ascii="宋体" w:hAnsi="宋体" w:cs="宋体"/>
          <w:szCs w:val="21"/>
        </w:rPr>
        <w:t>3.3.2 出现特殊情况需要延长投标有效期的，招标人将通知所有投标人延长投标有效期。投标人同意延长的，应相应延长其投标保证金的有效期，但不得要求或被允许修改或撤销其投标文件；投标人拒绝延长的，其投标失效，但投标人有权收回其投标保证金。</w:t>
      </w:r>
    </w:p>
    <w:p w14:paraId="0515B3CC">
      <w:pPr>
        <w:pStyle w:val="3"/>
        <w:spacing w:line="400" w:lineRule="exact"/>
        <w:rPr>
          <w:rFonts w:ascii="宋体" w:hAnsi="宋体" w:eastAsia="宋体" w:cs="宋体"/>
          <w:b/>
          <w:sz w:val="24"/>
          <w:szCs w:val="24"/>
        </w:rPr>
      </w:pPr>
      <w:r>
        <w:rPr>
          <w:rFonts w:hint="eastAsia" w:ascii="宋体" w:hAnsi="宋体" w:eastAsia="宋体" w:cs="宋体"/>
          <w:b/>
          <w:sz w:val="24"/>
          <w:szCs w:val="24"/>
        </w:rPr>
        <w:t>3.4 投标保证金</w:t>
      </w:r>
    </w:p>
    <w:p w14:paraId="0D0F4C50">
      <w:pPr>
        <w:spacing w:line="400" w:lineRule="exact"/>
        <w:ind w:firstLine="420" w:firstLineChars="200"/>
        <w:rPr>
          <w:rFonts w:ascii="宋体" w:hAnsi="宋体" w:cs="宋体"/>
          <w:szCs w:val="21"/>
        </w:rPr>
      </w:pPr>
      <w:r>
        <w:rPr>
          <w:rFonts w:hint="eastAsia" w:ascii="宋体" w:hAnsi="宋体" w:cs="宋体"/>
          <w:szCs w:val="21"/>
        </w:rPr>
        <w:t>3.4.1 投标人必须在投标截止时间前，按投标人须知前附表的规定递交投标保证金。</w:t>
      </w:r>
    </w:p>
    <w:p w14:paraId="0116E179">
      <w:pPr>
        <w:spacing w:line="400" w:lineRule="exact"/>
        <w:ind w:firstLine="420" w:firstLineChars="200"/>
        <w:rPr>
          <w:rFonts w:ascii="宋体" w:hAnsi="宋体" w:cs="宋体"/>
          <w:szCs w:val="21"/>
        </w:rPr>
      </w:pPr>
      <w:r>
        <w:rPr>
          <w:rFonts w:hint="eastAsia" w:ascii="宋体" w:hAnsi="宋体" w:cs="宋体"/>
          <w:szCs w:val="21"/>
        </w:rPr>
        <w:t>3.4.2 投标人不按本章第3.4.1项要求提交投标保证金的，其投标文件无效。</w:t>
      </w:r>
    </w:p>
    <w:p w14:paraId="06BBE1EB">
      <w:pPr>
        <w:spacing w:line="400" w:lineRule="exact"/>
        <w:ind w:firstLine="420" w:firstLineChars="200"/>
        <w:rPr>
          <w:rFonts w:ascii="宋体" w:hAnsi="宋体" w:cs="宋体"/>
          <w:szCs w:val="21"/>
        </w:rPr>
      </w:pPr>
      <w:r>
        <w:rPr>
          <w:rFonts w:hint="eastAsia" w:ascii="宋体" w:hAnsi="宋体" w:cs="宋体"/>
          <w:szCs w:val="21"/>
        </w:rPr>
        <w:t xml:space="preserve">3.4.3 </w:t>
      </w:r>
      <w:r>
        <w:rPr>
          <w:rFonts w:hint="eastAsia"/>
          <w:highlight w:val="white"/>
        </w:rPr>
        <w:t>招标人与中标人签订合同后</w:t>
      </w:r>
      <w:r>
        <w:rPr>
          <w:highlight w:val="white"/>
        </w:rPr>
        <w:t>5</w:t>
      </w:r>
      <w:r>
        <w:rPr>
          <w:rFonts w:hint="eastAsia"/>
          <w:highlight w:val="white"/>
        </w:rPr>
        <w:t>日内，向未中标的投标人和中标人退还投标保证金。</w:t>
      </w:r>
      <w:r>
        <w:rPr>
          <w:rFonts w:hint="eastAsia" w:ascii="宋体" w:hAnsi="宋体" w:cs="宋体"/>
          <w:szCs w:val="21"/>
        </w:rPr>
        <w:t>退还方式见投标人须知前附表。</w:t>
      </w:r>
    </w:p>
    <w:p w14:paraId="5206F957">
      <w:pPr>
        <w:spacing w:line="400" w:lineRule="exact"/>
        <w:ind w:firstLine="420" w:firstLineChars="200"/>
        <w:rPr>
          <w:rFonts w:ascii="宋体" w:hAnsi="宋体" w:cs="宋体"/>
          <w:szCs w:val="21"/>
        </w:rPr>
      </w:pPr>
      <w:r>
        <w:rPr>
          <w:rFonts w:hint="eastAsia" w:ascii="宋体" w:hAnsi="宋体" w:cs="宋体"/>
          <w:szCs w:val="21"/>
        </w:rPr>
        <w:t>3.4.4 有下列情形之一的，投标保证金将不予退还：</w:t>
      </w:r>
    </w:p>
    <w:p w14:paraId="4B7B17B7">
      <w:pPr>
        <w:spacing w:line="400" w:lineRule="exact"/>
        <w:ind w:firstLine="420" w:firstLineChars="200"/>
        <w:rPr>
          <w:rFonts w:ascii="宋体" w:hAnsi="宋体" w:cs="宋体"/>
          <w:szCs w:val="21"/>
        </w:rPr>
      </w:pPr>
      <w:r>
        <w:rPr>
          <w:rFonts w:hint="eastAsia" w:ascii="宋体" w:hAnsi="宋体" w:cs="宋体"/>
          <w:szCs w:val="21"/>
        </w:rPr>
        <w:t>①投标人在投标有效期内撤销或修改其投标文件；</w:t>
      </w:r>
    </w:p>
    <w:p w14:paraId="1CA3B911">
      <w:pPr>
        <w:spacing w:line="400" w:lineRule="exact"/>
        <w:ind w:firstLine="420" w:firstLineChars="200"/>
        <w:rPr>
          <w:rFonts w:ascii="宋体" w:hAnsi="宋体" w:cs="宋体"/>
          <w:szCs w:val="21"/>
        </w:rPr>
      </w:pPr>
      <w:r>
        <w:rPr>
          <w:rFonts w:hint="eastAsia" w:ascii="宋体" w:hAnsi="宋体" w:cs="宋体"/>
          <w:szCs w:val="21"/>
        </w:rPr>
        <w:t>②中标人无正当理由不与招标人订立合同；</w:t>
      </w:r>
    </w:p>
    <w:p w14:paraId="48D25D3D">
      <w:pPr>
        <w:spacing w:line="400" w:lineRule="exact"/>
        <w:ind w:firstLine="420" w:firstLineChars="200"/>
        <w:rPr>
          <w:rFonts w:ascii="宋体" w:hAnsi="宋体" w:cs="宋体"/>
          <w:szCs w:val="21"/>
        </w:rPr>
      </w:pPr>
      <w:r>
        <w:rPr>
          <w:rFonts w:hint="eastAsia" w:ascii="宋体" w:hAnsi="宋体" w:cs="宋体"/>
          <w:szCs w:val="21"/>
        </w:rPr>
        <w:t>③中标人在签订合同时向招标人提出附加条件；</w:t>
      </w:r>
    </w:p>
    <w:p w14:paraId="54B6539A">
      <w:pPr>
        <w:spacing w:line="400" w:lineRule="exact"/>
        <w:ind w:firstLine="420" w:firstLineChars="200"/>
        <w:rPr>
          <w:rFonts w:ascii="宋体" w:hAnsi="宋体" w:cs="宋体"/>
          <w:szCs w:val="21"/>
        </w:rPr>
      </w:pPr>
      <w:r>
        <w:rPr>
          <w:rFonts w:hint="eastAsia" w:ascii="宋体" w:hAnsi="宋体" w:cs="宋体"/>
          <w:szCs w:val="21"/>
        </w:rPr>
        <w:t>④中标人不按照招标文件要求提交履约保证金的。</w:t>
      </w:r>
    </w:p>
    <w:p w14:paraId="662A2B6E">
      <w:pPr>
        <w:pStyle w:val="3"/>
        <w:spacing w:line="440" w:lineRule="exact"/>
        <w:rPr>
          <w:rFonts w:ascii="宋体" w:hAnsi="宋体" w:eastAsia="宋体" w:cs="宋体"/>
          <w:b/>
          <w:sz w:val="24"/>
          <w:szCs w:val="24"/>
        </w:rPr>
      </w:pPr>
      <w:r>
        <w:rPr>
          <w:rFonts w:hint="eastAsia" w:ascii="宋体" w:hAnsi="宋体" w:eastAsia="宋体" w:cs="宋体"/>
          <w:b/>
          <w:sz w:val="24"/>
          <w:szCs w:val="24"/>
        </w:rPr>
        <w:t>3.5 备选投标方案</w:t>
      </w:r>
    </w:p>
    <w:p w14:paraId="201C89F6">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28F2EBA5">
      <w:pPr>
        <w:pStyle w:val="3"/>
        <w:spacing w:line="440" w:lineRule="exact"/>
        <w:rPr>
          <w:rFonts w:ascii="宋体" w:hAnsi="宋体" w:eastAsia="宋体" w:cs="宋体"/>
          <w:b/>
          <w:sz w:val="24"/>
          <w:szCs w:val="24"/>
        </w:rPr>
      </w:pPr>
      <w:r>
        <w:rPr>
          <w:rFonts w:hint="eastAsia" w:ascii="宋体" w:hAnsi="宋体" w:eastAsia="宋体" w:cs="宋体"/>
          <w:b/>
          <w:sz w:val="24"/>
          <w:szCs w:val="24"/>
        </w:rPr>
        <w:t>3.6 投标文件的编制</w:t>
      </w:r>
    </w:p>
    <w:p w14:paraId="59FFE6AD">
      <w:pPr>
        <w:spacing w:line="440" w:lineRule="exact"/>
        <w:ind w:firstLine="420" w:firstLineChars="200"/>
        <w:rPr>
          <w:rFonts w:ascii="宋体" w:hAnsi="宋体" w:cs="宋体"/>
          <w:szCs w:val="21"/>
        </w:rPr>
      </w:pPr>
      <w:r>
        <w:rPr>
          <w:rFonts w:hint="eastAsia" w:ascii="宋体" w:hAnsi="宋体" w:cs="宋体"/>
          <w:szCs w:val="21"/>
        </w:rPr>
        <w:t>3.6.1 投标文件应按第五章“投标文件格式”进行编写，如有必要可自行增加，作为投标文件的组成部分。</w:t>
      </w:r>
    </w:p>
    <w:p w14:paraId="60F6D8F3">
      <w:pPr>
        <w:spacing w:line="440" w:lineRule="exact"/>
        <w:ind w:firstLine="420" w:firstLineChars="200"/>
        <w:rPr>
          <w:rFonts w:ascii="宋体" w:hAnsi="宋体" w:cs="宋体"/>
          <w:szCs w:val="21"/>
        </w:rPr>
      </w:pPr>
      <w:r>
        <w:rPr>
          <w:rFonts w:hint="eastAsia" w:ascii="宋体" w:hAnsi="宋体" w:cs="宋体"/>
          <w:szCs w:val="21"/>
        </w:rPr>
        <w:t>3.6.2投标文件应当对招标文件有关工期、投标有效期、质量要求、技术标准和要求、招标范围等实质性内容作出响应。</w:t>
      </w:r>
    </w:p>
    <w:p w14:paraId="64F0FD92">
      <w:pPr>
        <w:spacing w:line="440" w:lineRule="exact"/>
        <w:ind w:firstLine="420" w:firstLineChars="200"/>
        <w:rPr>
          <w:rFonts w:ascii="宋体" w:hAnsi="宋体" w:cs="宋体"/>
          <w:szCs w:val="21"/>
        </w:rPr>
      </w:pPr>
      <w:r>
        <w:rPr>
          <w:rFonts w:hint="eastAsia" w:ascii="宋体" w:hAnsi="宋体" w:cs="宋体"/>
          <w:szCs w:val="21"/>
        </w:rPr>
        <w:t>3.6.3补充内容：投标文件编制的其它要求详见投标人须知前附表。</w:t>
      </w:r>
    </w:p>
    <w:p w14:paraId="74F66E4C">
      <w:pPr>
        <w:pStyle w:val="3"/>
        <w:spacing w:line="360" w:lineRule="auto"/>
        <w:jc w:val="center"/>
        <w:rPr>
          <w:rFonts w:ascii="宋体" w:hAnsi="宋体" w:eastAsia="宋体" w:cs="宋体"/>
          <w:b/>
          <w:sz w:val="24"/>
          <w:szCs w:val="24"/>
        </w:rPr>
      </w:pPr>
      <w:r>
        <w:rPr>
          <w:rFonts w:hint="eastAsia" w:ascii="宋体" w:hAnsi="宋体" w:eastAsia="宋体" w:cs="宋体"/>
          <w:b/>
          <w:sz w:val="24"/>
          <w:szCs w:val="24"/>
        </w:rPr>
        <w:t>4  投标</w:t>
      </w:r>
    </w:p>
    <w:p w14:paraId="40C20697">
      <w:pPr>
        <w:pStyle w:val="4"/>
        <w:spacing w:line="360" w:lineRule="auto"/>
        <w:rPr>
          <w:rFonts w:ascii="宋体" w:hAnsi="宋体" w:eastAsia="宋体" w:cs="宋体"/>
          <w:b/>
          <w:kern w:val="2"/>
          <w:szCs w:val="24"/>
        </w:rPr>
      </w:pPr>
      <w:r>
        <w:rPr>
          <w:rFonts w:hint="eastAsia" w:ascii="宋体" w:hAnsi="宋体" w:eastAsia="宋体" w:cs="宋体"/>
          <w:b/>
          <w:kern w:val="2"/>
          <w:szCs w:val="24"/>
        </w:rPr>
        <w:t>4.1 投标文件的密封和标记</w:t>
      </w:r>
    </w:p>
    <w:p w14:paraId="1E60DE8E">
      <w:pPr>
        <w:spacing w:line="360" w:lineRule="auto"/>
        <w:ind w:firstLine="420" w:firstLineChars="200"/>
        <w:rPr>
          <w:rFonts w:ascii="宋体" w:hAnsi="宋体" w:cs="宋体"/>
          <w:color w:val="000000"/>
          <w:szCs w:val="21"/>
        </w:rPr>
      </w:pPr>
      <w:r>
        <w:rPr>
          <w:rFonts w:hint="eastAsia" w:ascii="宋体" w:hAnsi="宋体" w:cs="宋体"/>
          <w:color w:val="000000"/>
          <w:szCs w:val="21"/>
        </w:rPr>
        <w:t>纸质投标文件（包括资格审查材料、综合标、价格标）【其中正本一份、副本一份，并在（资格审查材料、综合标、价格标）封面上注明“正本”或“副本”字样，当正本与副本不一致时，以正本为准；（资格审查材料、综合标、价格标）封面上还应注明项目名称并加盖投标单位公章、法定代表人签字或印鉴或委托代理人签字】</w:t>
      </w:r>
    </w:p>
    <w:p w14:paraId="3E2CACB7">
      <w:pPr>
        <w:pStyle w:val="3"/>
        <w:spacing w:line="440" w:lineRule="exact"/>
        <w:rPr>
          <w:rFonts w:ascii="宋体" w:hAnsi="宋体" w:eastAsia="宋体" w:cs="宋体"/>
          <w:b/>
          <w:sz w:val="24"/>
          <w:szCs w:val="24"/>
        </w:rPr>
      </w:pPr>
      <w:r>
        <w:rPr>
          <w:rFonts w:hint="eastAsia" w:ascii="宋体" w:hAnsi="宋体" w:eastAsia="宋体" w:cs="宋体"/>
          <w:b/>
          <w:sz w:val="24"/>
          <w:szCs w:val="24"/>
        </w:rPr>
        <w:t>4.2 投标文件的递交</w:t>
      </w:r>
    </w:p>
    <w:p w14:paraId="30960DDC">
      <w:pPr>
        <w:spacing w:line="360" w:lineRule="auto"/>
        <w:ind w:firstLine="420" w:firstLineChars="200"/>
        <w:rPr>
          <w:rFonts w:ascii="宋体" w:hAnsi="宋体" w:cs="宋体"/>
          <w:color w:val="000000"/>
          <w:szCs w:val="21"/>
        </w:rPr>
      </w:pPr>
      <w:r>
        <w:rPr>
          <w:rFonts w:hint="eastAsia" w:ascii="宋体" w:hAnsi="宋体" w:cs="宋体"/>
          <w:color w:val="000000"/>
          <w:szCs w:val="21"/>
        </w:rPr>
        <w:t>4.2.1投标人应在投标人须知前附表规定的投标截止时间前，向</w:t>
      </w:r>
      <w:r>
        <w:rPr>
          <w:rFonts w:hint="eastAsia"/>
          <w:color w:val="000000"/>
          <w:szCs w:val="21"/>
        </w:rPr>
        <w:t>招标人</w:t>
      </w:r>
      <w:r>
        <w:rPr>
          <w:rFonts w:hint="eastAsia" w:ascii="宋体" w:hAnsi="宋体" w:cs="宋体"/>
          <w:color w:val="000000"/>
          <w:szCs w:val="21"/>
        </w:rPr>
        <w:t>递交投标文件。</w:t>
      </w:r>
    </w:p>
    <w:p w14:paraId="689B84A8">
      <w:pPr>
        <w:spacing w:line="360" w:lineRule="auto"/>
        <w:ind w:firstLine="420" w:firstLineChars="200"/>
        <w:rPr>
          <w:rFonts w:ascii="宋体" w:hAnsi="宋体" w:cs="宋体"/>
          <w:szCs w:val="21"/>
        </w:rPr>
      </w:pPr>
      <w:r>
        <w:rPr>
          <w:rFonts w:hint="eastAsia" w:ascii="宋体" w:hAnsi="宋体" w:cs="宋体"/>
          <w:szCs w:val="21"/>
        </w:rPr>
        <w:t>4.2.2投标人递交投标文件的地点：见投标人须知前附表。</w:t>
      </w:r>
    </w:p>
    <w:p w14:paraId="69C64312">
      <w:pPr>
        <w:spacing w:line="360" w:lineRule="auto"/>
        <w:ind w:firstLine="420" w:firstLineChars="200"/>
        <w:rPr>
          <w:rFonts w:ascii="宋体" w:hAnsi="宋体" w:cs="宋体"/>
          <w:szCs w:val="21"/>
        </w:rPr>
      </w:pPr>
      <w:r>
        <w:rPr>
          <w:rFonts w:hint="eastAsia" w:ascii="宋体" w:hAnsi="宋体" w:cs="宋体"/>
          <w:szCs w:val="21"/>
        </w:rPr>
        <w:t>4.2.3逾期递交投标文件的，招标人不予受理。</w:t>
      </w:r>
    </w:p>
    <w:p w14:paraId="32282659">
      <w:pPr>
        <w:pStyle w:val="3"/>
        <w:spacing w:line="440" w:lineRule="exact"/>
        <w:rPr>
          <w:rFonts w:ascii="宋体" w:hAnsi="宋体" w:eastAsia="宋体" w:cs="宋体"/>
          <w:b/>
          <w:sz w:val="24"/>
          <w:szCs w:val="24"/>
        </w:rPr>
      </w:pPr>
      <w:r>
        <w:rPr>
          <w:rFonts w:hint="eastAsia" w:ascii="宋体" w:hAnsi="宋体" w:eastAsia="宋体" w:cs="宋体"/>
          <w:b/>
          <w:sz w:val="24"/>
          <w:szCs w:val="24"/>
        </w:rPr>
        <w:t>4.3 投标文件的修改与撤回</w:t>
      </w:r>
    </w:p>
    <w:p w14:paraId="4C513B2D">
      <w:pPr>
        <w:spacing w:line="360" w:lineRule="auto"/>
        <w:ind w:firstLine="420" w:firstLineChars="200"/>
        <w:rPr>
          <w:rFonts w:ascii="宋体" w:hAnsi="宋体" w:cs="宋体"/>
        </w:rPr>
      </w:pPr>
      <w:r>
        <w:rPr>
          <w:rFonts w:hint="eastAsia" w:ascii="宋体" w:hAnsi="宋体" w:cs="宋体"/>
          <w:szCs w:val="21"/>
        </w:rPr>
        <w:t>在本章第4.2.1项规定的投标截止时间前，投标人可以修改或撤回已递交的投标文件。</w:t>
      </w:r>
    </w:p>
    <w:p w14:paraId="4D44F384">
      <w:pPr>
        <w:pStyle w:val="3"/>
        <w:spacing w:line="440" w:lineRule="exact"/>
        <w:jc w:val="center"/>
        <w:rPr>
          <w:rFonts w:ascii="宋体" w:hAnsi="宋体" w:eastAsia="宋体" w:cs="宋体"/>
          <w:b/>
          <w:sz w:val="24"/>
          <w:szCs w:val="24"/>
        </w:rPr>
      </w:pPr>
      <w:r>
        <w:rPr>
          <w:rFonts w:hint="eastAsia" w:ascii="宋体" w:hAnsi="宋体" w:eastAsia="宋体" w:cs="宋体"/>
          <w:b/>
          <w:sz w:val="24"/>
          <w:szCs w:val="24"/>
        </w:rPr>
        <w:t>5  开标</w:t>
      </w:r>
    </w:p>
    <w:p w14:paraId="17BD386F">
      <w:pPr>
        <w:pStyle w:val="3"/>
        <w:spacing w:line="440" w:lineRule="exact"/>
        <w:rPr>
          <w:rFonts w:ascii="宋体" w:hAnsi="宋体" w:eastAsia="宋体" w:cs="宋体"/>
          <w:b/>
          <w:sz w:val="24"/>
          <w:szCs w:val="24"/>
        </w:rPr>
      </w:pPr>
      <w:r>
        <w:rPr>
          <w:rFonts w:hint="eastAsia" w:ascii="宋体" w:hAnsi="宋体" w:eastAsia="宋体" w:cs="宋体"/>
          <w:b/>
          <w:sz w:val="24"/>
          <w:szCs w:val="24"/>
        </w:rPr>
        <w:t>5.1 开标时间、地点和人员</w:t>
      </w:r>
    </w:p>
    <w:p w14:paraId="41460A18">
      <w:pPr>
        <w:spacing w:line="440" w:lineRule="exact"/>
        <w:ind w:firstLine="420" w:firstLineChars="200"/>
        <w:rPr>
          <w:rFonts w:ascii="宋体" w:hAnsi="宋体" w:cs="宋体"/>
          <w:szCs w:val="21"/>
        </w:rPr>
      </w:pPr>
      <w:r>
        <w:rPr>
          <w:rFonts w:hint="eastAsia" w:ascii="宋体" w:hAnsi="宋体" w:cs="宋体"/>
          <w:szCs w:val="21"/>
        </w:rPr>
        <w:t>5.1.1招标人在投标人须知前附表规定的时间和地点公开开标；</w:t>
      </w:r>
    </w:p>
    <w:p w14:paraId="18F7D633">
      <w:pPr>
        <w:spacing w:line="440" w:lineRule="exact"/>
        <w:ind w:firstLine="420" w:firstLineChars="200"/>
        <w:rPr>
          <w:rFonts w:ascii="宋体" w:hAnsi="宋体" w:cs="宋体"/>
          <w:szCs w:val="21"/>
        </w:rPr>
      </w:pPr>
      <w:r>
        <w:rPr>
          <w:rFonts w:hint="eastAsia" w:ascii="宋体" w:hAnsi="宋体" w:cs="宋体"/>
          <w:szCs w:val="21"/>
        </w:rPr>
        <w:t>5.1.2参加开标会的投标人代表的要求见投标人须知前附表。未按要求派相关人员参加开标的，其投标将被拒绝。</w:t>
      </w:r>
    </w:p>
    <w:p w14:paraId="2BBF6CDF">
      <w:pPr>
        <w:pStyle w:val="3"/>
        <w:spacing w:line="440" w:lineRule="exact"/>
        <w:rPr>
          <w:rFonts w:ascii="宋体" w:hAnsi="宋体" w:eastAsia="宋体" w:cs="宋体"/>
          <w:b/>
          <w:sz w:val="24"/>
          <w:szCs w:val="24"/>
        </w:rPr>
      </w:pPr>
      <w:r>
        <w:rPr>
          <w:rFonts w:hint="eastAsia" w:ascii="宋体" w:hAnsi="宋体" w:eastAsia="宋体" w:cs="宋体"/>
          <w:b/>
          <w:sz w:val="24"/>
          <w:szCs w:val="24"/>
        </w:rPr>
        <w:t>5.2 开标程序</w:t>
      </w:r>
    </w:p>
    <w:p w14:paraId="16047045">
      <w:pPr>
        <w:spacing w:line="360" w:lineRule="auto"/>
        <w:ind w:firstLine="420" w:firstLineChars="200"/>
        <w:rPr>
          <w:rFonts w:ascii="宋体" w:hAnsi="宋体" w:cs="宋体"/>
          <w:szCs w:val="21"/>
        </w:rPr>
      </w:pPr>
      <w:r>
        <w:rPr>
          <w:rFonts w:hint="eastAsia" w:ascii="宋体" w:hAnsi="宋体" w:cs="宋体"/>
          <w:szCs w:val="21"/>
        </w:rPr>
        <w:t>5.2.1开标程序见投标人须知前附表。</w:t>
      </w:r>
    </w:p>
    <w:p w14:paraId="02A7E74D">
      <w:pPr>
        <w:pStyle w:val="3"/>
        <w:spacing w:line="440" w:lineRule="exact"/>
        <w:jc w:val="center"/>
        <w:rPr>
          <w:rFonts w:ascii="宋体" w:hAnsi="宋体" w:eastAsia="宋体" w:cs="宋体"/>
          <w:b/>
          <w:sz w:val="24"/>
          <w:szCs w:val="24"/>
        </w:rPr>
      </w:pPr>
      <w:r>
        <w:rPr>
          <w:rFonts w:hint="eastAsia" w:ascii="宋体" w:hAnsi="宋体" w:eastAsia="宋体" w:cs="宋体"/>
          <w:b/>
          <w:sz w:val="24"/>
          <w:szCs w:val="24"/>
        </w:rPr>
        <w:t>6  评标</w:t>
      </w:r>
    </w:p>
    <w:p w14:paraId="55B07C5D">
      <w:pPr>
        <w:pStyle w:val="3"/>
        <w:spacing w:line="440" w:lineRule="exact"/>
        <w:rPr>
          <w:rFonts w:ascii="宋体" w:hAnsi="宋体" w:eastAsia="宋体" w:cs="宋体"/>
          <w:b/>
          <w:sz w:val="24"/>
          <w:szCs w:val="24"/>
        </w:rPr>
      </w:pPr>
      <w:r>
        <w:rPr>
          <w:rFonts w:hint="eastAsia" w:ascii="宋体" w:hAnsi="宋体" w:eastAsia="宋体" w:cs="宋体"/>
          <w:b/>
          <w:sz w:val="24"/>
          <w:szCs w:val="24"/>
        </w:rPr>
        <w:t>6.1 评标委员会</w:t>
      </w:r>
    </w:p>
    <w:p w14:paraId="1D24CB3A">
      <w:pPr>
        <w:autoSpaceDE w:val="0"/>
        <w:autoSpaceDN w:val="0"/>
        <w:adjustRightInd w:val="0"/>
        <w:spacing w:line="440" w:lineRule="exact"/>
        <w:ind w:firstLine="420" w:firstLineChars="200"/>
        <w:jc w:val="left"/>
        <w:rPr>
          <w:rFonts w:ascii="宋体" w:hAnsi="宋体" w:cs="宋体"/>
          <w:szCs w:val="21"/>
        </w:rPr>
      </w:pPr>
      <w:r>
        <w:rPr>
          <w:rFonts w:hint="eastAsia" w:ascii="宋体" w:hAnsi="宋体" w:cs="宋体"/>
          <w:kern w:val="0"/>
          <w:szCs w:val="21"/>
        </w:rPr>
        <w:t xml:space="preserve">6.1.1 </w:t>
      </w:r>
      <w:r>
        <w:rPr>
          <w:rFonts w:hint="eastAsia" w:ascii="宋体" w:hAnsi="宋体" w:cs="宋体"/>
          <w:szCs w:val="21"/>
        </w:rPr>
        <w:t>评标由招标人依法组建的评标委员会负责。评标委员会成员人数以及技术、经济等方面专家的确定方式见“投标人须知前附表”。</w:t>
      </w:r>
    </w:p>
    <w:p w14:paraId="32D1F187">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6.1.2 评标委员会成员有下列情形之一的，应当主动提出回避：</w:t>
      </w:r>
    </w:p>
    <w:p w14:paraId="429095D3">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（1）投标人的主要负责人的近亲属；</w:t>
      </w:r>
    </w:p>
    <w:p w14:paraId="70BA1B02">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（2）招标项目主管部门或者行政监督部门的人员；</w:t>
      </w:r>
    </w:p>
    <w:p w14:paraId="1857E774">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（3）与投标人有经济利益关系，可能影响对投标公正评审的；</w:t>
      </w:r>
    </w:p>
    <w:p w14:paraId="1705789C">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（4）曾因在招标、评标以及其他与招标投标有关活动中从事违法行为而受过行政处罚或刑事处罚的。</w:t>
      </w:r>
    </w:p>
    <w:p w14:paraId="6DFED4E0">
      <w:pPr>
        <w:pStyle w:val="3"/>
        <w:spacing w:line="440" w:lineRule="exact"/>
        <w:rPr>
          <w:rFonts w:ascii="宋体" w:hAnsi="宋体" w:eastAsia="宋体" w:cs="宋体"/>
          <w:b/>
          <w:sz w:val="24"/>
          <w:szCs w:val="24"/>
        </w:rPr>
      </w:pPr>
      <w:r>
        <w:rPr>
          <w:rFonts w:hint="eastAsia" w:ascii="宋体" w:hAnsi="宋体" w:eastAsia="宋体" w:cs="宋体"/>
          <w:b/>
          <w:sz w:val="24"/>
          <w:szCs w:val="24"/>
        </w:rPr>
        <w:t>6.2 评标原则</w:t>
      </w:r>
    </w:p>
    <w:p w14:paraId="733CE38F">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评标活动遵循公平、公正、科学和择优的原则。</w:t>
      </w:r>
    </w:p>
    <w:p w14:paraId="118BABEB">
      <w:pPr>
        <w:pStyle w:val="3"/>
        <w:spacing w:line="440" w:lineRule="exact"/>
        <w:rPr>
          <w:rFonts w:ascii="宋体" w:hAnsi="宋体" w:eastAsia="宋体" w:cs="宋体"/>
          <w:b/>
          <w:sz w:val="24"/>
          <w:szCs w:val="24"/>
        </w:rPr>
      </w:pPr>
      <w:r>
        <w:rPr>
          <w:rFonts w:hint="eastAsia" w:ascii="宋体" w:hAnsi="宋体" w:eastAsia="宋体" w:cs="宋体"/>
          <w:b/>
          <w:sz w:val="24"/>
          <w:szCs w:val="24"/>
        </w:rPr>
        <w:t>6.3 评标</w:t>
      </w:r>
    </w:p>
    <w:p w14:paraId="6BFE34B2">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评标委员会按照第三章“评标办法”规定的方法、评审因素、标准和程序对投标文件进行评审。招标文件没有规定的方法、评审因素和标准，不作为评标依据。</w:t>
      </w:r>
    </w:p>
    <w:p w14:paraId="1113C3D7">
      <w:pPr>
        <w:pStyle w:val="3"/>
        <w:spacing w:line="440" w:lineRule="exact"/>
        <w:rPr>
          <w:rFonts w:ascii="宋体" w:hAnsi="宋体" w:eastAsia="宋体" w:cs="宋体"/>
          <w:b/>
          <w:sz w:val="24"/>
          <w:szCs w:val="24"/>
        </w:rPr>
      </w:pPr>
      <w:r>
        <w:rPr>
          <w:rFonts w:hint="eastAsia" w:ascii="宋体" w:hAnsi="宋体" w:eastAsia="宋体" w:cs="宋体"/>
          <w:b/>
          <w:sz w:val="24"/>
          <w:szCs w:val="24"/>
        </w:rPr>
        <w:t>6.4 评标结果公示</w:t>
      </w:r>
    </w:p>
    <w:p w14:paraId="5FEF63B5">
      <w:pPr>
        <w:autoSpaceDE w:val="0"/>
        <w:autoSpaceDN w:val="0"/>
        <w:adjustRightInd w:val="0"/>
        <w:spacing w:line="440" w:lineRule="exact"/>
        <w:ind w:firstLine="420" w:firstLineChars="200"/>
        <w:jc w:val="left"/>
        <w:rPr>
          <w:rFonts w:ascii="宋体" w:hAnsi="宋体" w:cs="宋体"/>
          <w:kern w:val="0"/>
          <w:szCs w:val="21"/>
        </w:rPr>
      </w:pPr>
      <w:r>
        <w:rPr>
          <w:rFonts w:hint="eastAsia" w:ascii="宋体" w:hAnsi="宋体" w:cs="宋体"/>
          <w:kern w:val="0"/>
          <w:szCs w:val="21"/>
        </w:rPr>
        <w:t xml:space="preserve">6.4.1 </w:t>
      </w:r>
      <w:r>
        <w:rPr>
          <w:rFonts w:hint="eastAsia" w:ascii="宋体" w:hAnsi="宋体" w:cs="宋体"/>
          <w:szCs w:val="21"/>
        </w:rPr>
        <w:t>招标人在收到评标报告之日起3日内在本招标项目招标公告发布的同一媒介发布评标结果公示，公示期不少于3日。</w:t>
      </w:r>
    </w:p>
    <w:p w14:paraId="0389395D">
      <w:pPr>
        <w:spacing w:line="440" w:lineRule="exact"/>
        <w:ind w:firstLine="420" w:firstLineChars="200"/>
        <w:rPr>
          <w:rFonts w:ascii="宋体" w:hAnsi="宋体" w:cs="宋体"/>
          <w:szCs w:val="21"/>
        </w:rPr>
      </w:pPr>
      <w:r>
        <w:rPr>
          <w:rFonts w:hint="eastAsia" w:ascii="宋体" w:hAnsi="宋体" w:cs="宋体"/>
          <w:kern w:val="0"/>
          <w:szCs w:val="21"/>
        </w:rPr>
        <w:t xml:space="preserve">6.4.2 </w:t>
      </w:r>
      <w:r>
        <w:rPr>
          <w:rFonts w:hint="eastAsia" w:ascii="宋体" w:hAnsi="宋体" w:cs="宋体"/>
          <w:szCs w:val="21"/>
        </w:rPr>
        <w:t>投标人或者其他利害关系人对评标结果有异议的，应当在公示期间提出。招标人自收到异议之日起3日内作出答复。对招标人答复不满意或招标人拒不答复的，投标人可按照本章第8.5条的规定程序向有关行政监督部门投诉。</w:t>
      </w:r>
    </w:p>
    <w:p w14:paraId="1C180E43">
      <w:pPr>
        <w:pStyle w:val="3"/>
        <w:spacing w:line="440" w:lineRule="exact"/>
        <w:jc w:val="center"/>
        <w:rPr>
          <w:rFonts w:ascii="宋体" w:hAnsi="宋体" w:eastAsia="宋体" w:cs="宋体"/>
          <w:b/>
          <w:sz w:val="24"/>
          <w:szCs w:val="24"/>
        </w:rPr>
      </w:pPr>
      <w:r>
        <w:rPr>
          <w:rFonts w:hint="eastAsia" w:ascii="宋体" w:hAnsi="宋体" w:eastAsia="宋体" w:cs="宋体"/>
          <w:b/>
          <w:sz w:val="24"/>
          <w:szCs w:val="24"/>
        </w:rPr>
        <w:t>7  合同授予</w:t>
      </w:r>
    </w:p>
    <w:p w14:paraId="23ABF76F">
      <w:pPr>
        <w:pStyle w:val="3"/>
        <w:spacing w:line="440" w:lineRule="exact"/>
        <w:rPr>
          <w:rFonts w:ascii="宋体" w:hAnsi="宋体" w:eastAsia="宋体" w:cs="宋体"/>
          <w:b/>
          <w:sz w:val="24"/>
          <w:szCs w:val="24"/>
        </w:rPr>
      </w:pPr>
      <w:r>
        <w:rPr>
          <w:rFonts w:hint="eastAsia" w:ascii="宋体" w:hAnsi="宋体" w:eastAsia="宋体" w:cs="宋体"/>
          <w:b/>
          <w:sz w:val="24"/>
          <w:szCs w:val="24"/>
        </w:rPr>
        <w:t>7.1 定标方式</w:t>
      </w:r>
    </w:p>
    <w:p w14:paraId="6CEE0278">
      <w:pPr>
        <w:spacing w:line="440" w:lineRule="exact"/>
        <w:ind w:firstLine="420" w:firstLineChars="200"/>
        <w:rPr>
          <w:rFonts w:ascii="宋体" w:hAnsi="宋体" w:cs="宋体"/>
          <w:szCs w:val="21"/>
        </w:rPr>
      </w:pPr>
      <w:r>
        <w:rPr>
          <w:rFonts w:hint="eastAsia" w:ascii="宋体" w:hAnsi="宋体" w:cs="宋体"/>
          <w:szCs w:val="21"/>
        </w:rPr>
        <w:t>除“投标人须知前附表”规定评标委员会直接确定中标人外，招标人依据评标委员会推荐的中标候选人确定中标人，评标委员会推荐中标候选人的人数见“投标人须知前附表”。</w:t>
      </w:r>
    </w:p>
    <w:p w14:paraId="67CEF3FD">
      <w:pPr>
        <w:pStyle w:val="3"/>
        <w:spacing w:line="440" w:lineRule="exact"/>
        <w:rPr>
          <w:rFonts w:ascii="宋体" w:hAnsi="宋体" w:eastAsia="宋体" w:cs="宋体"/>
          <w:b/>
          <w:sz w:val="24"/>
          <w:szCs w:val="24"/>
        </w:rPr>
      </w:pPr>
      <w:r>
        <w:rPr>
          <w:rFonts w:hint="eastAsia" w:ascii="宋体" w:hAnsi="宋体" w:eastAsia="宋体" w:cs="宋体"/>
          <w:b/>
          <w:sz w:val="24"/>
          <w:szCs w:val="24"/>
        </w:rPr>
        <w:t>7.2 中标人公告及中标通知</w:t>
      </w:r>
    </w:p>
    <w:p w14:paraId="4A9862EA">
      <w:pPr>
        <w:spacing w:line="440" w:lineRule="exact"/>
        <w:ind w:firstLine="420" w:firstLineChars="200"/>
        <w:rPr>
          <w:rFonts w:ascii="宋体" w:hAnsi="宋体" w:cs="宋体"/>
          <w:szCs w:val="21"/>
        </w:rPr>
      </w:pPr>
      <w:r>
        <w:rPr>
          <w:rFonts w:hint="eastAsia" w:ascii="宋体" w:hAnsi="宋体" w:cs="宋体"/>
          <w:szCs w:val="21"/>
        </w:rPr>
        <w:t>评标结果公示期满无异议或投诉的，招标人应在5日内按规定的格式以书面形式向中标人发出中标通知书。</w:t>
      </w:r>
    </w:p>
    <w:p w14:paraId="3650730E">
      <w:pPr>
        <w:pStyle w:val="4"/>
        <w:spacing w:line="440" w:lineRule="exact"/>
        <w:rPr>
          <w:rFonts w:ascii="宋体" w:hAnsi="宋体" w:eastAsia="宋体" w:cs="宋体"/>
        </w:rPr>
      </w:pPr>
      <w:r>
        <w:rPr>
          <w:rFonts w:hint="eastAsia" w:ascii="宋体" w:hAnsi="宋体" w:eastAsia="宋体" w:cs="宋体"/>
        </w:rPr>
        <w:t>7.3 履约保证金</w:t>
      </w:r>
    </w:p>
    <w:p w14:paraId="1D40FBAB">
      <w:pPr>
        <w:spacing w:line="440" w:lineRule="exact"/>
        <w:ind w:firstLine="420" w:firstLineChars="200"/>
        <w:rPr>
          <w:rFonts w:ascii="宋体" w:hAnsi="宋体" w:cs="宋体"/>
          <w:szCs w:val="21"/>
        </w:rPr>
      </w:pPr>
      <w:r>
        <w:rPr>
          <w:rFonts w:hint="eastAsia" w:ascii="宋体" w:hAnsi="宋体" w:cs="宋体"/>
          <w:szCs w:val="21"/>
        </w:rPr>
        <w:t>7.3.1 在签订合同前，中标人应按“投标人须知前附表”规定的金额、担保形式和招标文件第四章“合同条款及格式”规定的履约担保格式向招标人提交履约保证金。</w:t>
      </w:r>
    </w:p>
    <w:p w14:paraId="5BB0EF05">
      <w:pPr>
        <w:spacing w:line="440" w:lineRule="exact"/>
        <w:ind w:firstLine="420" w:firstLineChars="200"/>
        <w:rPr>
          <w:rFonts w:ascii="宋体" w:hAnsi="宋体" w:cs="宋体"/>
          <w:szCs w:val="21"/>
        </w:rPr>
      </w:pPr>
      <w:r>
        <w:rPr>
          <w:rFonts w:hint="eastAsia" w:ascii="宋体" w:hAnsi="宋体" w:cs="宋体"/>
          <w:szCs w:val="21"/>
        </w:rPr>
        <w:t>7.3.2 中标人不能按本章第7.3.1项要求提交履约保证金的，视为放弃中标，其投标保证金不予退还，给招标人造成的损失超过投标保证金数额的，中标人还应当对超过部分予以赔偿。</w:t>
      </w:r>
    </w:p>
    <w:p w14:paraId="329C9FE5">
      <w:pPr>
        <w:pStyle w:val="3"/>
        <w:spacing w:line="440" w:lineRule="exact"/>
        <w:rPr>
          <w:rFonts w:ascii="宋体" w:hAnsi="宋体" w:eastAsia="宋体" w:cs="宋体"/>
          <w:b/>
          <w:sz w:val="24"/>
          <w:szCs w:val="24"/>
        </w:rPr>
      </w:pPr>
      <w:r>
        <w:rPr>
          <w:rFonts w:hint="eastAsia" w:ascii="宋体" w:hAnsi="宋体" w:eastAsia="宋体" w:cs="宋体"/>
          <w:b/>
          <w:sz w:val="24"/>
          <w:szCs w:val="24"/>
        </w:rPr>
        <w:t>7.4 签订合同</w:t>
      </w:r>
    </w:p>
    <w:p w14:paraId="1D5ACB0E">
      <w:pPr>
        <w:spacing w:line="440" w:lineRule="exact"/>
        <w:ind w:firstLine="420" w:firstLineChars="200"/>
        <w:rPr>
          <w:rFonts w:ascii="宋体" w:hAnsi="宋体" w:cs="宋体"/>
          <w:szCs w:val="21"/>
        </w:rPr>
      </w:pPr>
      <w:r>
        <w:rPr>
          <w:rFonts w:hint="eastAsia" w:ascii="宋体" w:hAnsi="宋体" w:cs="宋体"/>
          <w:szCs w:val="21"/>
        </w:rPr>
        <w:t>7.4.1 招标人和中标人应当在投标有效期内以及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对依法必须进行招标的项目的中标人，由有关行政监督部门责令改正。</w:t>
      </w:r>
    </w:p>
    <w:p w14:paraId="44AB0A81">
      <w:pPr>
        <w:spacing w:line="440" w:lineRule="exact"/>
        <w:ind w:firstLine="420" w:firstLineChars="200"/>
        <w:rPr>
          <w:rFonts w:ascii="宋体" w:hAnsi="宋体" w:cs="宋体"/>
          <w:szCs w:val="21"/>
        </w:rPr>
      </w:pPr>
      <w:r>
        <w:rPr>
          <w:rFonts w:hint="eastAsia" w:ascii="宋体" w:hAnsi="宋体" w:cs="宋体"/>
          <w:szCs w:val="21"/>
        </w:rPr>
        <w:t>7.4.2 排名第一的中标候选人（或者评标委员会依据招标人的授权直接确定的中标人）放弃中标，或因不可抗力提出不能履行合同，或者被查实存在影响中标结果的违法行为等情形，不符合中标条件的，招标人可以按照评标委员会提出的中标候选人名单排序依次确定其他中标候选人为中标人，依次确定其他中标候选人与招标人预期差距较大，或者对招标人明显不利的，招标人可以重新招标。</w:t>
      </w:r>
    </w:p>
    <w:p w14:paraId="2C207513">
      <w:pPr>
        <w:spacing w:line="440" w:lineRule="exact"/>
        <w:ind w:firstLine="420" w:firstLineChars="200"/>
        <w:rPr>
          <w:rFonts w:ascii="宋体" w:hAnsi="宋体" w:cs="宋体"/>
        </w:rPr>
      </w:pPr>
      <w:r>
        <w:rPr>
          <w:rFonts w:hint="eastAsia" w:ascii="宋体" w:hAnsi="宋体" w:cs="宋体"/>
          <w:szCs w:val="21"/>
        </w:rPr>
        <w:t>7.4.3 发出中标通知书后，招标人无正当理由拒签合同的，由有关行政监督部门给予警告，责令改正。同时招标人向中标人退还投标保证金；给中标人造成损失的，还应当赔偿损失。</w:t>
      </w:r>
    </w:p>
    <w:p w14:paraId="01AE1747">
      <w:pPr>
        <w:pStyle w:val="3"/>
        <w:spacing w:line="440" w:lineRule="exact"/>
        <w:jc w:val="center"/>
        <w:rPr>
          <w:rFonts w:ascii="宋体" w:hAnsi="宋体" w:eastAsia="宋体" w:cs="宋体"/>
          <w:b/>
          <w:sz w:val="24"/>
          <w:szCs w:val="24"/>
        </w:rPr>
      </w:pPr>
      <w:r>
        <w:rPr>
          <w:rFonts w:hint="eastAsia" w:ascii="宋体" w:hAnsi="宋体" w:eastAsia="宋体" w:cs="宋体"/>
          <w:b/>
          <w:sz w:val="24"/>
          <w:szCs w:val="24"/>
        </w:rPr>
        <w:t>8  纪律和监督</w:t>
      </w:r>
    </w:p>
    <w:p w14:paraId="6E2DB961">
      <w:pPr>
        <w:pStyle w:val="3"/>
        <w:spacing w:line="440" w:lineRule="exact"/>
        <w:rPr>
          <w:rFonts w:ascii="宋体" w:hAnsi="宋体" w:eastAsia="宋体" w:cs="宋体"/>
          <w:b/>
          <w:sz w:val="24"/>
          <w:szCs w:val="24"/>
        </w:rPr>
      </w:pPr>
      <w:r>
        <w:rPr>
          <w:rFonts w:hint="eastAsia" w:ascii="宋体" w:hAnsi="宋体" w:eastAsia="宋体" w:cs="宋体"/>
          <w:b/>
          <w:sz w:val="24"/>
          <w:szCs w:val="24"/>
        </w:rPr>
        <w:t>8.1 对招标人的纪律要求</w:t>
      </w:r>
    </w:p>
    <w:p w14:paraId="32DB212C">
      <w:pPr>
        <w:spacing w:line="440" w:lineRule="exact"/>
        <w:ind w:firstLine="420" w:firstLineChars="200"/>
        <w:rPr>
          <w:rFonts w:ascii="宋体" w:hAnsi="宋体" w:cs="宋体"/>
          <w:kern w:val="0"/>
          <w:szCs w:val="21"/>
        </w:rPr>
      </w:pPr>
      <w:r>
        <w:rPr>
          <w:rFonts w:hint="eastAsia" w:ascii="宋体" w:hAnsi="宋体" w:cs="宋体"/>
          <w:szCs w:val="21"/>
        </w:rPr>
        <w:t>招标人不得泄漏招标投标活动中应当保密的情况和资料，不得与投标人串通损害国家利益、社会公共利益或者他人合法权益。</w:t>
      </w:r>
    </w:p>
    <w:p w14:paraId="03F18154">
      <w:pPr>
        <w:pStyle w:val="3"/>
        <w:spacing w:line="440" w:lineRule="exact"/>
        <w:rPr>
          <w:rFonts w:ascii="宋体" w:hAnsi="宋体" w:eastAsia="宋体" w:cs="宋体"/>
          <w:b/>
          <w:sz w:val="24"/>
          <w:szCs w:val="24"/>
        </w:rPr>
      </w:pPr>
      <w:r>
        <w:rPr>
          <w:rFonts w:hint="eastAsia" w:ascii="宋体" w:hAnsi="宋体" w:eastAsia="宋体" w:cs="宋体"/>
          <w:b/>
          <w:sz w:val="24"/>
          <w:szCs w:val="24"/>
        </w:rPr>
        <w:t>8.2 对投标人的纪律要求</w:t>
      </w:r>
    </w:p>
    <w:p w14:paraId="7B994817">
      <w:pPr>
        <w:spacing w:line="440" w:lineRule="exact"/>
        <w:ind w:firstLine="420" w:firstLineChars="200"/>
        <w:rPr>
          <w:rFonts w:ascii="宋体" w:hAnsi="宋体" w:cs="宋体"/>
          <w:szCs w:val="21"/>
        </w:rPr>
      </w:pPr>
      <w:r>
        <w:rPr>
          <w:rFonts w:hint="eastAsia" w:ascii="宋体" w:hAnsi="宋体" w:cs="宋体"/>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7837B83">
      <w:pPr>
        <w:pStyle w:val="3"/>
        <w:spacing w:line="440" w:lineRule="exact"/>
        <w:rPr>
          <w:rFonts w:ascii="宋体" w:hAnsi="宋体" w:eastAsia="宋体" w:cs="宋体"/>
          <w:b/>
          <w:sz w:val="24"/>
          <w:szCs w:val="24"/>
        </w:rPr>
      </w:pPr>
      <w:r>
        <w:rPr>
          <w:rFonts w:hint="eastAsia" w:ascii="宋体" w:hAnsi="宋体" w:eastAsia="宋体" w:cs="宋体"/>
          <w:b/>
          <w:sz w:val="24"/>
          <w:szCs w:val="24"/>
        </w:rPr>
        <w:t>8.3 对评标委员会成员的纪律要求</w:t>
      </w:r>
    </w:p>
    <w:p w14:paraId="40A5EE04">
      <w:pPr>
        <w:spacing w:line="440" w:lineRule="exact"/>
        <w:ind w:firstLine="420" w:firstLineChars="200"/>
        <w:rPr>
          <w:rFonts w:ascii="宋体" w:hAnsi="宋体" w:cs="宋体"/>
          <w:szCs w:val="21"/>
        </w:rPr>
      </w:pPr>
      <w:r>
        <w:rPr>
          <w:rFonts w:hint="eastAsia" w:ascii="宋体" w:hAnsi="宋体" w:cs="宋体"/>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525C0831">
      <w:pPr>
        <w:pStyle w:val="3"/>
        <w:spacing w:line="440" w:lineRule="exact"/>
        <w:rPr>
          <w:rFonts w:ascii="宋体" w:hAnsi="宋体" w:eastAsia="宋体" w:cs="宋体"/>
          <w:b/>
          <w:sz w:val="24"/>
          <w:szCs w:val="24"/>
        </w:rPr>
      </w:pPr>
      <w:r>
        <w:rPr>
          <w:rFonts w:hint="eastAsia" w:ascii="宋体" w:hAnsi="宋体" w:eastAsia="宋体" w:cs="宋体"/>
          <w:b/>
          <w:sz w:val="24"/>
          <w:szCs w:val="24"/>
        </w:rPr>
        <w:t>8.4 对与评标活动有关的工作人员的纪律要求</w:t>
      </w:r>
    </w:p>
    <w:p w14:paraId="4920502D">
      <w:pPr>
        <w:spacing w:line="440" w:lineRule="exact"/>
        <w:ind w:firstLine="420" w:firstLineChars="200"/>
        <w:rPr>
          <w:rFonts w:ascii="宋体" w:hAnsi="宋体" w:cs="宋体"/>
        </w:rPr>
      </w:pPr>
      <w:r>
        <w:rPr>
          <w:rFonts w:hint="eastAsia" w:ascii="宋体" w:hAnsi="宋体" w:cs="宋体"/>
        </w:rPr>
        <w:t>与</w:t>
      </w:r>
      <w:r>
        <w:rPr>
          <w:rFonts w:hint="eastAsia" w:ascii="宋体" w:hAnsi="宋体" w:cs="宋体"/>
          <w:szCs w:val="21"/>
        </w:rPr>
        <w:t>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F64EEF1">
      <w:pPr>
        <w:pStyle w:val="3"/>
        <w:spacing w:line="440" w:lineRule="exact"/>
        <w:rPr>
          <w:rFonts w:ascii="宋体" w:hAnsi="宋体" w:eastAsia="宋体" w:cs="宋体"/>
          <w:b/>
          <w:sz w:val="24"/>
          <w:szCs w:val="24"/>
        </w:rPr>
      </w:pPr>
      <w:r>
        <w:rPr>
          <w:rFonts w:hint="eastAsia" w:ascii="宋体" w:hAnsi="宋体" w:eastAsia="宋体" w:cs="宋体"/>
          <w:b/>
          <w:sz w:val="24"/>
          <w:szCs w:val="24"/>
        </w:rPr>
        <w:t>8.5 异议与投诉</w:t>
      </w:r>
    </w:p>
    <w:p w14:paraId="13861141">
      <w:pPr>
        <w:spacing w:line="440" w:lineRule="exact"/>
        <w:ind w:firstLine="420" w:firstLineChars="200"/>
        <w:rPr>
          <w:rFonts w:ascii="宋体" w:hAnsi="宋体" w:cs="宋体"/>
          <w:szCs w:val="21"/>
        </w:rPr>
      </w:pPr>
      <w:r>
        <w:rPr>
          <w:rFonts w:hint="eastAsia" w:ascii="宋体" w:hAnsi="宋体" w:cs="宋体"/>
          <w:szCs w:val="21"/>
        </w:rPr>
        <w:t>8.5.1异议</w:t>
      </w:r>
    </w:p>
    <w:p w14:paraId="231171F2">
      <w:pPr>
        <w:spacing w:line="440" w:lineRule="exact"/>
        <w:ind w:firstLine="420" w:firstLineChars="200"/>
        <w:rPr>
          <w:rFonts w:ascii="宋体" w:hAnsi="宋体" w:cs="宋体"/>
          <w:szCs w:val="21"/>
        </w:rPr>
      </w:pPr>
      <w:r>
        <w:rPr>
          <w:rFonts w:hint="eastAsia" w:ascii="宋体" w:hAnsi="宋体" w:cs="宋体"/>
          <w:szCs w:val="21"/>
        </w:rPr>
        <w:t>投标人或者其他利害关系人对招标文件有异议的，应在投标人须知前附表规定的时间前提出。招标人应当自收到异议之日起3日内作出答复；作出答复前，应当暂停招标投标活动。</w:t>
      </w:r>
    </w:p>
    <w:p w14:paraId="2A8E92AA">
      <w:pPr>
        <w:spacing w:line="440" w:lineRule="exact"/>
        <w:ind w:firstLine="420" w:firstLineChars="200"/>
        <w:rPr>
          <w:rFonts w:ascii="宋体" w:hAnsi="宋体" w:cs="宋体"/>
          <w:szCs w:val="21"/>
        </w:rPr>
      </w:pPr>
      <w:r>
        <w:rPr>
          <w:rFonts w:hint="eastAsia" w:ascii="宋体" w:hAnsi="宋体" w:cs="宋体"/>
          <w:szCs w:val="21"/>
        </w:rPr>
        <w:t>投标人对开标有异议的，应当及时提出，招标人应当当场作出答复，并制作记录。</w:t>
      </w:r>
    </w:p>
    <w:p w14:paraId="5B0FA289">
      <w:pPr>
        <w:spacing w:line="440" w:lineRule="exact"/>
        <w:ind w:firstLine="420" w:firstLineChars="200"/>
        <w:rPr>
          <w:rFonts w:ascii="宋体" w:hAnsi="宋体" w:cs="宋体"/>
          <w:szCs w:val="21"/>
        </w:rPr>
      </w:pPr>
      <w:r>
        <w:rPr>
          <w:rFonts w:hint="eastAsia" w:ascii="宋体" w:hAnsi="宋体" w:cs="宋体"/>
          <w:szCs w:val="21"/>
        </w:rPr>
        <w:t>投标人或者其他利害关系人对依法必须进行招标的项目的评标结果有异议的，应当在中标候选人公示期间提出。</w:t>
      </w:r>
    </w:p>
    <w:p w14:paraId="545077CA">
      <w:pPr>
        <w:spacing w:line="440" w:lineRule="exact"/>
        <w:rPr>
          <w:rFonts w:ascii="宋体" w:hAnsi="宋体" w:cs="宋体"/>
          <w:szCs w:val="21"/>
        </w:rPr>
      </w:pPr>
      <w:r>
        <w:rPr>
          <w:rFonts w:hint="eastAsia" w:ascii="宋体" w:hAnsi="宋体" w:cs="宋体"/>
          <w:szCs w:val="21"/>
        </w:rPr>
        <w:t>附：</w:t>
      </w:r>
    </w:p>
    <w:p w14:paraId="498DAE0E">
      <w:pPr>
        <w:spacing w:line="440" w:lineRule="exact"/>
        <w:jc w:val="center"/>
        <w:rPr>
          <w:rFonts w:ascii="宋体" w:hAnsi="宋体" w:cs="宋体"/>
          <w:b/>
          <w:bCs/>
          <w:sz w:val="28"/>
          <w:szCs w:val="28"/>
        </w:rPr>
      </w:pPr>
      <w:r>
        <w:rPr>
          <w:rFonts w:hint="eastAsia" w:ascii="宋体" w:hAnsi="宋体" w:cs="宋体"/>
          <w:b/>
          <w:bCs/>
          <w:sz w:val="28"/>
          <w:szCs w:val="28"/>
        </w:rPr>
        <w:t>异议书（格式）</w:t>
      </w:r>
    </w:p>
    <w:p w14:paraId="1E01846B">
      <w:pPr>
        <w:spacing w:line="440" w:lineRule="exact"/>
        <w:rPr>
          <w:rFonts w:ascii="宋体" w:hAnsi="宋体" w:cs="宋体"/>
          <w:szCs w:val="21"/>
        </w:rPr>
      </w:pPr>
      <w:r>
        <w:rPr>
          <w:rFonts w:hint="eastAsia" w:ascii="宋体" w:hAnsi="宋体" w:cs="宋体"/>
          <w:szCs w:val="21"/>
        </w:rPr>
        <w:t xml:space="preserve">项目名称：                                             </w:t>
      </w:r>
    </w:p>
    <w:p w14:paraId="5B07B53B">
      <w:pPr>
        <w:spacing w:line="440" w:lineRule="exact"/>
        <w:rPr>
          <w:rFonts w:ascii="宋体" w:hAnsi="宋体" w:cs="宋体"/>
          <w:szCs w:val="21"/>
        </w:rPr>
      </w:pPr>
      <w:r>
        <w:rPr>
          <w:rFonts w:hint="eastAsia" w:ascii="宋体" w:hAnsi="宋体" w:cs="宋体"/>
          <w:szCs w:val="21"/>
        </w:rPr>
        <w:t xml:space="preserve">异议人：                                               </w:t>
      </w:r>
    </w:p>
    <w:p w14:paraId="43DF39DC">
      <w:pPr>
        <w:spacing w:line="440" w:lineRule="exact"/>
        <w:rPr>
          <w:rFonts w:ascii="宋体" w:hAnsi="宋体" w:cs="宋体"/>
          <w:szCs w:val="21"/>
        </w:rPr>
      </w:pPr>
      <w:r>
        <w:rPr>
          <w:rFonts w:hint="eastAsia" w:ascii="宋体" w:hAnsi="宋体" w:cs="宋体"/>
          <w:szCs w:val="21"/>
        </w:rPr>
        <w:t xml:space="preserve">住所地：                       邮编：                   </w:t>
      </w:r>
    </w:p>
    <w:p w14:paraId="4164835D">
      <w:pPr>
        <w:spacing w:line="440" w:lineRule="exact"/>
        <w:rPr>
          <w:rFonts w:ascii="宋体" w:hAnsi="宋体" w:cs="宋体"/>
          <w:szCs w:val="21"/>
        </w:rPr>
      </w:pPr>
      <w:r>
        <w:rPr>
          <w:rFonts w:hint="eastAsia" w:ascii="宋体" w:hAnsi="宋体" w:cs="宋体"/>
          <w:szCs w:val="21"/>
        </w:rPr>
        <w:t xml:space="preserve">法定代表人：                   联系电话                        </w:t>
      </w:r>
    </w:p>
    <w:p w14:paraId="70A129D5">
      <w:pPr>
        <w:spacing w:line="440" w:lineRule="exact"/>
        <w:rPr>
          <w:rFonts w:ascii="宋体" w:hAnsi="宋体" w:cs="宋体"/>
          <w:szCs w:val="21"/>
        </w:rPr>
      </w:pPr>
      <w:r>
        <w:rPr>
          <w:rFonts w:hint="eastAsia" w:ascii="宋体" w:hAnsi="宋体" w:cs="宋体"/>
          <w:szCs w:val="21"/>
        </w:rPr>
        <w:t xml:space="preserve">异议人授权代表：               性别：           年龄：         </w:t>
      </w:r>
    </w:p>
    <w:p w14:paraId="29970699">
      <w:pPr>
        <w:spacing w:line="440" w:lineRule="exact"/>
        <w:rPr>
          <w:rFonts w:ascii="宋体" w:hAnsi="宋体" w:cs="宋体"/>
          <w:szCs w:val="21"/>
        </w:rPr>
      </w:pPr>
      <w:r>
        <w:rPr>
          <w:rFonts w:hint="eastAsia" w:ascii="宋体" w:hAnsi="宋体" w:cs="宋体"/>
          <w:szCs w:val="21"/>
        </w:rPr>
        <w:t xml:space="preserve">住址：                         联系电话：                </w:t>
      </w:r>
    </w:p>
    <w:p w14:paraId="07B04775">
      <w:pPr>
        <w:spacing w:line="440" w:lineRule="exact"/>
        <w:rPr>
          <w:rFonts w:ascii="宋体" w:hAnsi="宋体" w:cs="宋体"/>
          <w:szCs w:val="21"/>
        </w:rPr>
      </w:pPr>
      <w:r>
        <w:rPr>
          <w:rFonts w:hint="eastAsia" w:ascii="宋体" w:hAnsi="宋体" w:cs="宋体"/>
          <w:szCs w:val="21"/>
        </w:rPr>
        <w:t xml:space="preserve">提起异议事项的基本事实：                                       </w:t>
      </w:r>
    </w:p>
    <w:p w14:paraId="6C46D224">
      <w:pPr>
        <w:spacing w:line="440" w:lineRule="exact"/>
        <w:rPr>
          <w:rFonts w:ascii="宋体" w:hAnsi="宋体" w:cs="宋体"/>
          <w:szCs w:val="21"/>
        </w:rPr>
      </w:pPr>
      <w:r>
        <w:rPr>
          <w:rFonts w:hint="eastAsia" w:ascii="宋体" w:hAnsi="宋体" w:cs="宋体"/>
          <w:szCs w:val="21"/>
        </w:rPr>
        <w:t xml:space="preserve">相关请求及主张：                                               </w:t>
      </w:r>
    </w:p>
    <w:p w14:paraId="08EBEF23">
      <w:pPr>
        <w:spacing w:line="440" w:lineRule="exact"/>
        <w:rPr>
          <w:rFonts w:ascii="宋体" w:hAnsi="宋体" w:cs="宋体"/>
          <w:szCs w:val="21"/>
        </w:rPr>
      </w:pPr>
      <w:r>
        <w:rPr>
          <w:rFonts w:hint="eastAsia" w:ascii="宋体" w:hAnsi="宋体" w:cs="宋体"/>
          <w:szCs w:val="21"/>
        </w:rPr>
        <w:t xml:space="preserve">有效线索和相关证明材料：                                       </w:t>
      </w:r>
    </w:p>
    <w:p w14:paraId="443238BD">
      <w:pPr>
        <w:spacing w:line="440" w:lineRule="exact"/>
        <w:rPr>
          <w:rFonts w:ascii="宋体" w:hAnsi="宋体" w:cs="宋体"/>
          <w:szCs w:val="21"/>
        </w:rPr>
      </w:pPr>
      <w:r>
        <w:rPr>
          <w:rFonts w:hint="eastAsia" w:ascii="宋体" w:hAnsi="宋体" w:cs="宋体"/>
          <w:szCs w:val="21"/>
        </w:rPr>
        <w:t xml:space="preserve">异议人与提起项目有利害关系的证明材料：                         </w:t>
      </w:r>
    </w:p>
    <w:p w14:paraId="72795584">
      <w:pPr>
        <w:spacing w:line="440" w:lineRule="exact"/>
        <w:jc w:val="center"/>
        <w:rPr>
          <w:rFonts w:ascii="宋体" w:hAnsi="宋体" w:cs="宋体"/>
          <w:szCs w:val="21"/>
        </w:rPr>
      </w:pPr>
      <w:r>
        <w:rPr>
          <w:rFonts w:hint="eastAsia" w:ascii="宋体" w:hAnsi="宋体" w:cs="宋体"/>
          <w:szCs w:val="21"/>
        </w:rPr>
        <w:t xml:space="preserve">                        异议人（公章）：</w:t>
      </w:r>
    </w:p>
    <w:p w14:paraId="67416929">
      <w:pPr>
        <w:spacing w:line="440" w:lineRule="exact"/>
        <w:jc w:val="center"/>
        <w:rPr>
          <w:rFonts w:ascii="宋体" w:hAnsi="宋体" w:cs="宋体"/>
          <w:szCs w:val="21"/>
        </w:rPr>
      </w:pPr>
      <w:r>
        <w:rPr>
          <w:rFonts w:hint="eastAsia" w:ascii="宋体" w:hAnsi="宋体" w:cs="宋体"/>
          <w:szCs w:val="21"/>
        </w:rPr>
        <w:t xml:space="preserve">                          法定代表人或授权代表（签字）</w:t>
      </w:r>
    </w:p>
    <w:p w14:paraId="7E864F76">
      <w:pPr>
        <w:spacing w:line="440" w:lineRule="exact"/>
        <w:rPr>
          <w:rFonts w:ascii="宋体" w:hAnsi="宋体" w:cs="宋体"/>
          <w:szCs w:val="21"/>
        </w:rPr>
      </w:pPr>
      <w:r>
        <w:rPr>
          <w:rFonts w:hint="eastAsia" w:ascii="宋体" w:hAnsi="宋体" w:cs="宋体"/>
          <w:szCs w:val="21"/>
        </w:rPr>
        <w:t xml:space="preserve">                                              年    月   日</w:t>
      </w:r>
    </w:p>
    <w:p w14:paraId="1649BD3C">
      <w:pPr>
        <w:spacing w:line="320" w:lineRule="exact"/>
        <w:rPr>
          <w:rFonts w:ascii="宋体" w:hAnsi="宋体" w:cs="宋体"/>
          <w:sz w:val="18"/>
          <w:szCs w:val="18"/>
        </w:rPr>
      </w:pPr>
      <w:r>
        <w:rPr>
          <w:rFonts w:hint="eastAsia" w:ascii="宋体" w:hAnsi="宋体" w:cs="宋体"/>
          <w:sz w:val="18"/>
          <w:szCs w:val="18"/>
        </w:rPr>
        <w:t>1.异议人是法人的，异议书必须由其法定代表人或者授权代表签字并盖章；其他组织或者自然人提出异议的，异议书必须由其主要负责人或者异议人本人签字，并附有效身份证明复印件。</w:t>
      </w:r>
    </w:p>
    <w:p w14:paraId="1AFC2C99">
      <w:pPr>
        <w:spacing w:line="320" w:lineRule="exact"/>
        <w:rPr>
          <w:rFonts w:ascii="宋体" w:hAnsi="宋体" w:cs="宋体"/>
          <w:sz w:val="18"/>
          <w:szCs w:val="18"/>
        </w:rPr>
      </w:pPr>
      <w:r>
        <w:rPr>
          <w:rFonts w:hint="eastAsia" w:ascii="宋体" w:hAnsi="宋体" w:cs="宋体"/>
          <w:sz w:val="18"/>
          <w:szCs w:val="18"/>
        </w:rPr>
        <w:t>2.异议书有关材料是外文的，异议人应当同时提供其中文译本。</w:t>
      </w:r>
    </w:p>
    <w:p w14:paraId="6654CA2C">
      <w:pPr>
        <w:spacing w:line="320" w:lineRule="exact"/>
        <w:rPr>
          <w:rFonts w:ascii="宋体" w:hAnsi="宋体" w:cs="宋体"/>
          <w:sz w:val="18"/>
          <w:szCs w:val="18"/>
        </w:rPr>
      </w:pPr>
      <w:r>
        <w:rPr>
          <w:rFonts w:hint="eastAsia" w:ascii="宋体" w:hAnsi="宋体" w:cs="宋体"/>
          <w:sz w:val="18"/>
          <w:szCs w:val="18"/>
        </w:rPr>
        <w:t>3.异议人可以自己直接提交异议书，也可以委托代理人办理异议事务。代理人办理异议事务时，应当将授权委托书连同异议书一并提交给招标人。授权委托书应当明确有关委托代理权限和事项。</w:t>
      </w:r>
    </w:p>
    <w:p w14:paraId="05C28F13">
      <w:pPr>
        <w:spacing w:line="440" w:lineRule="exact"/>
        <w:ind w:firstLine="420" w:firstLineChars="200"/>
        <w:rPr>
          <w:rFonts w:ascii="宋体" w:hAnsi="宋体" w:cs="宋体"/>
          <w:szCs w:val="21"/>
        </w:rPr>
      </w:pPr>
      <w:r>
        <w:rPr>
          <w:rFonts w:hint="eastAsia" w:ascii="宋体" w:hAnsi="宋体" w:cs="宋体"/>
          <w:szCs w:val="21"/>
        </w:rPr>
        <w:t>8.5.2投诉</w:t>
      </w:r>
    </w:p>
    <w:p w14:paraId="0D6F6EB5">
      <w:pPr>
        <w:spacing w:line="440" w:lineRule="exact"/>
        <w:ind w:firstLine="420" w:firstLineChars="200"/>
        <w:rPr>
          <w:rFonts w:ascii="宋体" w:hAnsi="宋体" w:cs="宋体"/>
          <w:szCs w:val="21"/>
        </w:rPr>
      </w:pPr>
      <w:r>
        <w:rPr>
          <w:rFonts w:hint="eastAsia" w:ascii="宋体" w:hAnsi="宋体" w:cs="宋体"/>
          <w:szCs w:val="21"/>
        </w:rPr>
        <w:t>投标人和其他利害关系人认为本次招标活动违反法律、法规和规章规定的，可以在知道或者应当知道之日起十日内向“投标人须知前附表”明确的招投标监督管理部门提出书面投诉。投诉应当有明确的请求和必要的证明材料。就第8.5.1项规定事项提出投诉的，应先向招标人提出异议。</w:t>
      </w:r>
    </w:p>
    <w:p w14:paraId="47720497">
      <w:pPr>
        <w:spacing w:line="440" w:lineRule="exact"/>
        <w:jc w:val="center"/>
        <w:rPr>
          <w:rFonts w:ascii="宋体" w:hAnsi="宋体" w:cs="宋体"/>
          <w:b/>
          <w:bCs/>
          <w:sz w:val="28"/>
          <w:szCs w:val="28"/>
        </w:rPr>
      </w:pPr>
      <w:r>
        <w:rPr>
          <w:rFonts w:hint="eastAsia" w:ascii="宋体" w:hAnsi="宋体" w:cs="宋体"/>
          <w:b/>
          <w:bCs/>
          <w:kern w:val="0"/>
          <w:sz w:val="28"/>
          <w:szCs w:val="28"/>
        </w:rPr>
        <w:t>投诉书（格式）</w:t>
      </w:r>
    </w:p>
    <w:p w14:paraId="1B1CD498">
      <w:pPr>
        <w:spacing w:line="440" w:lineRule="exact"/>
        <w:rPr>
          <w:rFonts w:ascii="宋体" w:hAnsi="宋体" w:cs="宋体"/>
          <w:szCs w:val="21"/>
        </w:rPr>
      </w:pPr>
      <w:r>
        <w:rPr>
          <w:rFonts w:hint="eastAsia" w:ascii="宋体" w:hAnsi="宋体" w:cs="宋体"/>
          <w:b/>
          <w:bCs/>
          <w:szCs w:val="21"/>
        </w:rPr>
        <w:t>投诉人（名称）：</w:t>
      </w:r>
    </w:p>
    <w:p w14:paraId="18FFC835">
      <w:pPr>
        <w:spacing w:line="440" w:lineRule="exact"/>
        <w:rPr>
          <w:rFonts w:ascii="宋体" w:hAnsi="宋体" w:cs="宋体"/>
          <w:szCs w:val="21"/>
        </w:rPr>
      </w:pPr>
      <w:r>
        <w:rPr>
          <w:rFonts w:hint="eastAsia" w:ascii="宋体" w:hAnsi="宋体" w:cs="宋体"/>
          <w:szCs w:val="21"/>
        </w:rPr>
        <w:t>住所地：                                        邮编：</w:t>
      </w:r>
    </w:p>
    <w:p w14:paraId="678484D1">
      <w:pPr>
        <w:spacing w:line="440" w:lineRule="exact"/>
        <w:rPr>
          <w:rFonts w:ascii="宋体" w:hAnsi="宋体" w:cs="宋体"/>
          <w:szCs w:val="21"/>
        </w:rPr>
      </w:pPr>
      <w:r>
        <w:rPr>
          <w:rFonts w:hint="eastAsia" w:ascii="宋体" w:hAnsi="宋体" w:cs="宋体"/>
          <w:szCs w:val="21"/>
        </w:rPr>
        <w:t>联系电话：                                      传真：</w:t>
      </w:r>
    </w:p>
    <w:p w14:paraId="711FA1E7">
      <w:pPr>
        <w:spacing w:line="440" w:lineRule="exact"/>
        <w:rPr>
          <w:rFonts w:ascii="宋体" w:hAnsi="宋体" w:cs="宋体"/>
          <w:szCs w:val="21"/>
        </w:rPr>
      </w:pPr>
      <w:r>
        <w:rPr>
          <w:rFonts w:hint="eastAsia" w:ascii="宋体" w:hAnsi="宋体" w:cs="宋体"/>
          <w:szCs w:val="21"/>
        </w:rPr>
        <w:t>法定代表人姓名：            职务：              电话：</w:t>
      </w:r>
    </w:p>
    <w:p w14:paraId="070E1B43">
      <w:pPr>
        <w:spacing w:line="440" w:lineRule="exact"/>
        <w:rPr>
          <w:rFonts w:ascii="宋体" w:hAnsi="宋体" w:cs="宋体"/>
          <w:szCs w:val="21"/>
        </w:rPr>
      </w:pPr>
      <w:r>
        <w:rPr>
          <w:rFonts w:hint="eastAsia" w:ascii="宋体" w:hAnsi="宋体" w:cs="宋体"/>
          <w:szCs w:val="21"/>
        </w:rPr>
        <w:t>授权委托人姓名（如有）：     职务：              电话：</w:t>
      </w:r>
    </w:p>
    <w:p w14:paraId="7D663267">
      <w:pPr>
        <w:spacing w:line="440" w:lineRule="exact"/>
        <w:ind w:firstLine="2940" w:firstLineChars="1400"/>
        <w:rPr>
          <w:rFonts w:ascii="宋体" w:hAnsi="宋体" w:cs="宋体"/>
          <w:szCs w:val="21"/>
        </w:rPr>
      </w:pPr>
      <w:r>
        <w:rPr>
          <w:rFonts w:hint="eastAsia" w:ascii="宋体" w:hAnsi="宋体" w:cs="宋体"/>
          <w:szCs w:val="21"/>
        </w:rPr>
        <w:t xml:space="preserve">居民身份证号码：                    </w:t>
      </w:r>
    </w:p>
    <w:p w14:paraId="5E3D1EDB">
      <w:pPr>
        <w:spacing w:line="440" w:lineRule="exact"/>
        <w:rPr>
          <w:rFonts w:ascii="宋体" w:hAnsi="宋体" w:cs="宋体"/>
          <w:b/>
          <w:bCs/>
          <w:szCs w:val="21"/>
        </w:rPr>
      </w:pPr>
      <w:r>
        <w:rPr>
          <w:rFonts w:hint="eastAsia" w:ascii="宋体" w:hAnsi="宋体" w:cs="宋体"/>
          <w:b/>
          <w:bCs/>
          <w:szCs w:val="21"/>
        </w:rPr>
        <w:t>被投诉人（名称）</w:t>
      </w:r>
      <w:r>
        <w:rPr>
          <w:rFonts w:hint="eastAsia" w:ascii="宋体" w:hAnsi="宋体" w:cs="宋体"/>
          <w:szCs w:val="21"/>
        </w:rPr>
        <w:t>：</w:t>
      </w:r>
    </w:p>
    <w:p w14:paraId="717A2907">
      <w:pPr>
        <w:spacing w:line="440" w:lineRule="exact"/>
        <w:rPr>
          <w:rFonts w:ascii="宋体" w:hAnsi="宋体" w:cs="宋体"/>
          <w:szCs w:val="21"/>
        </w:rPr>
      </w:pPr>
      <w:r>
        <w:rPr>
          <w:rFonts w:hint="eastAsia" w:ascii="宋体" w:hAnsi="宋体" w:cs="宋体"/>
          <w:szCs w:val="21"/>
        </w:rPr>
        <w:t>住所地：</w:t>
      </w:r>
    </w:p>
    <w:p w14:paraId="086C1B13">
      <w:pPr>
        <w:spacing w:line="440" w:lineRule="exact"/>
        <w:rPr>
          <w:rFonts w:ascii="宋体" w:hAnsi="宋体" w:cs="宋体"/>
          <w:szCs w:val="21"/>
        </w:rPr>
      </w:pPr>
      <w:r>
        <w:rPr>
          <w:rFonts w:hint="eastAsia" w:ascii="宋体" w:hAnsi="宋体" w:cs="宋体"/>
          <w:szCs w:val="21"/>
        </w:rPr>
        <w:t>邮编：                    电话：</w:t>
      </w:r>
    </w:p>
    <w:p w14:paraId="104B63D8">
      <w:pPr>
        <w:spacing w:line="440" w:lineRule="exact"/>
        <w:rPr>
          <w:rFonts w:ascii="宋体" w:hAnsi="宋体" w:cs="宋体"/>
          <w:szCs w:val="21"/>
        </w:rPr>
      </w:pPr>
      <w:r>
        <w:rPr>
          <w:rFonts w:hint="eastAsia" w:ascii="宋体" w:hAnsi="宋体" w:cs="宋体"/>
          <w:szCs w:val="21"/>
        </w:rPr>
        <w:t>法定代表人姓名：          职务：               电话：</w:t>
      </w:r>
    </w:p>
    <w:p w14:paraId="0493C3A9">
      <w:pPr>
        <w:spacing w:line="440" w:lineRule="exact"/>
        <w:rPr>
          <w:rFonts w:ascii="宋体" w:hAnsi="宋体" w:cs="宋体"/>
          <w:b/>
          <w:bCs/>
          <w:szCs w:val="21"/>
        </w:rPr>
      </w:pPr>
      <w:r>
        <w:rPr>
          <w:rFonts w:hint="eastAsia" w:ascii="宋体" w:hAnsi="宋体" w:cs="宋体"/>
          <w:b/>
          <w:bCs/>
          <w:szCs w:val="21"/>
        </w:rPr>
        <w:t>投诉事项的基本事实：</w:t>
      </w:r>
    </w:p>
    <w:p w14:paraId="4B2BAD86">
      <w:pPr>
        <w:spacing w:line="440" w:lineRule="exact"/>
        <w:rPr>
          <w:rFonts w:ascii="宋体" w:hAnsi="宋体" w:cs="宋体"/>
          <w:szCs w:val="21"/>
        </w:rPr>
      </w:pPr>
      <w:r>
        <w:rPr>
          <w:rFonts w:hint="eastAsia" w:ascii="宋体" w:hAnsi="宋体" w:cs="宋体"/>
          <w:b/>
          <w:bCs/>
          <w:szCs w:val="21"/>
        </w:rPr>
        <w:t>相关请求及主张:</w:t>
      </w:r>
    </w:p>
    <w:p w14:paraId="4854C63C">
      <w:pPr>
        <w:spacing w:line="440" w:lineRule="exact"/>
        <w:rPr>
          <w:rFonts w:ascii="宋体" w:hAnsi="宋体" w:cs="宋体"/>
          <w:szCs w:val="21"/>
        </w:rPr>
      </w:pPr>
      <w:r>
        <w:rPr>
          <w:rFonts w:hint="eastAsia" w:ascii="宋体" w:hAnsi="宋体" w:cs="宋体"/>
          <w:b/>
          <w:bCs/>
          <w:szCs w:val="21"/>
        </w:rPr>
        <w:t>相关证明材料及有效线索:</w:t>
      </w:r>
    </w:p>
    <w:p w14:paraId="4C27D547">
      <w:pPr>
        <w:spacing w:line="440" w:lineRule="exact"/>
        <w:rPr>
          <w:rFonts w:ascii="宋体" w:hAnsi="宋体" w:cs="宋体"/>
          <w:szCs w:val="21"/>
        </w:rPr>
      </w:pPr>
      <w:r>
        <w:rPr>
          <w:rFonts w:hint="eastAsia" w:ascii="宋体" w:hAnsi="宋体" w:cs="宋体"/>
          <w:b/>
          <w:bCs/>
          <w:szCs w:val="21"/>
        </w:rPr>
        <w:t>投诉人与投诉项目有利害关系的证明材料:</w:t>
      </w:r>
    </w:p>
    <w:p w14:paraId="70350312">
      <w:pPr>
        <w:spacing w:line="440" w:lineRule="exact"/>
        <w:rPr>
          <w:rFonts w:ascii="宋体" w:hAnsi="宋体" w:cs="宋体"/>
          <w:b/>
          <w:bCs/>
          <w:szCs w:val="21"/>
        </w:rPr>
      </w:pPr>
      <w:r>
        <w:rPr>
          <w:rFonts w:hint="eastAsia" w:ascii="宋体" w:hAnsi="宋体" w:cs="宋体"/>
          <w:b/>
          <w:bCs/>
          <w:szCs w:val="21"/>
        </w:rPr>
        <w:t>对异议事项进行投诉的，异议的证明文件及招标人异议答复书：</w:t>
      </w:r>
    </w:p>
    <w:p w14:paraId="7252A483">
      <w:pPr>
        <w:spacing w:line="440" w:lineRule="exact"/>
        <w:rPr>
          <w:rFonts w:ascii="宋体" w:hAnsi="宋体" w:cs="宋体"/>
          <w:szCs w:val="21"/>
        </w:rPr>
      </w:pPr>
      <w:r>
        <w:rPr>
          <w:rFonts w:hint="eastAsia" w:ascii="宋体" w:hAnsi="宋体" w:cs="宋体"/>
          <w:szCs w:val="21"/>
        </w:rPr>
        <w:t>投诉人（加盖公章）</w:t>
      </w:r>
    </w:p>
    <w:p w14:paraId="345DD839">
      <w:pPr>
        <w:spacing w:line="440" w:lineRule="exact"/>
        <w:rPr>
          <w:rFonts w:ascii="宋体" w:hAnsi="宋体" w:cs="宋体"/>
          <w:szCs w:val="21"/>
        </w:rPr>
      </w:pPr>
      <w:r>
        <w:rPr>
          <w:rFonts w:hint="eastAsia" w:ascii="宋体" w:hAnsi="宋体" w:cs="宋体"/>
          <w:szCs w:val="21"/>
        </w:rPr>
        <w:t>法定代表人（签字）</w:t>
      </w:r>
    </w:p>
    <w:p w14:paraId="3A97103C">
      <w:pPr>
        <w:spacing w:line="440" w:lineRule="exact"/>
        <w:rPr>
          <w:rFonts w:ascii="宋体" w:hAnsi="宋体" w:cs="宋体"/>
          <w:szCs w:val="21"/>
        </w:rPr>
      </w:pPr>
      <w:r>
        <w:rPr>
          <w:rFonts w:hint="eastAsia" w:ascii="宋体" w:hAnsi="宋体" w:cs="宋体"/>
          <w:szCs w:val="21"/>
        </w:rPr>
        <w:t>年     月     日</w:t>
      </w:r>
    </w:p>
    <w:p w14:paraId="7AB1285B">
      <w:pPr>
        <w:spacing w:line="440" w:lineRule="exact"/>
        <w:rPr>
          <w:rFonts w:ascii="宋体" w:hAnsi="宋体" w:cs="宋体"/>
          <w:szCs w:val="21"/>
        </w:rPr>
      </w:pPr>
      <w:r>
        <w:rPr>
          <w:rFonts w:hint="eastAsia" w:ascii="宋体" w:hAnsi="宋体" w:cs="宋体"/>
          <w:szCs w:val="21"/>
        </w:rPr>
        <w:t>说明：</w:t>
      </w:r>
    </w:p>
    <w:p w14:paraId="30584AE4">
      <w:pPr>
        <w:spacing w:line="340" w:lineRule="exact"/>
        <w:rPr>
          <w:rFonts w:ascii="宋体" w:hAnsi="宋体" w:cs="宋体"/>
          <w:sz w:val="18"/>
          <w:szCs w:val="18"/>
        </w:rPr>
      </w:pPr>
      <w:r>
        <w:rPr>
          <w:rFonts w:hint="eastAsia" w:ascii="宋体" w:hAnsi="宋体" w:cs="宋体"/>
          <w:sz w:val="18"/>
          <w:szCs w:val="18"/>
        </w:rPr>
        <w:t>1.投诉人是法人的，投诉书必须由其法定代表人或者授权代表签字并盖章。其他组织或者自然人提出投诉的，投诉书必须由其主要负责人或者异议人本人签字，并附有效身份证明复印件。</w:t>
      </w:r>
    </w:p>
    <w:p w14:paraId="30C9A789">
      <w:pPr>
        <w:spacing w:line="340" w:lineRule="exact"/>
        <w:rPr>
          <w:rFonts w:ascii="宋体" w:hAnsi="宋体" w:cs="宋体"/>
          <w:sz w:val="18"/>
          <w:szCs w:val="18"/>
        </w:rPr>
      </w:pPr>
      <w:r>
        <w:rPr>
          <w:rFonts w:hint="eastAsia" w:ascii="宋体" w:hAnsi="宋体" w:cs="宋体"/>
          <w:sz w:val="18"/>
          <w:szCs w:val="18"/>
        </w:rPr>
        <w:t>2.投诉书有关材料是外文的，投诉人应当同时提供其中文译本。</w:t>
      </w:r>
    </w:p>
    <w:p w14:paraId="0B20599E">
      <w:pPr>
        <w:spacing w:line="340" w:lineRule="exact"/>
        <w:rPr>
          <w:rFonts w:ascii="宋体" w:hAnsi="宋体" w:cs="宋体"/>
          <w:sz w:val="18"/>
          <w:szCs w:val="18"/>
        </w:rPr>
      </w:pPr>
      <w:r>
        <w:rPr>
          <w:rFonts w:hint="eastAsia" w:ascii="宋体" w:hAnsi="宋体" w:cs="宋体"/>
          <w:sz w:val="18"/>
          <w:szCs w:val="18"/>
        </w:rPr>
        <w:t>3.投诉人可以自己直接提交异议书，也可以委托代理人办理投诉事务。代理人办理投诉事务时，应当将授权委托书连同投诉书一并提交给监管机构。授权委托书应当明确有关委托代理权限和事项。</w:t>
      </w:r>
    </w:p>
    <w:p w14:paraId="2CFE59DD">
      <w:pPr>
        <w:pStyle w:val="3"/>
        <w:spacing w:line="440" w:lineRule="exact"/>
        <w:rPr>
          <w:rFonts w:ascii="宋体" w:hAnsi="宋体" w:eastAsia="宋体" w:cs="宋体"/>
          <w:b/>
          <w:sz w:val="24"/>
          <w:szCs w:val="24"/>
        </w:rPr>
      </w:pPr>
      <w:r>
        <w:rPr>
          <w:rFonts w:hint="eastAsia" w:ascii="宋体" w:hAnsi="宋体" w:eastAsia="宋体" w:cs="宋体"/>
          <w:b/>
          <w:sz w:val="24"/>
          <w:szCs w:val="24"/>
        </w:rPr>
        <w:t>9 解释权</w:t>
      </w:r>
    </w:p>
    <w:p w14:paraId="5550FA30">
      <w:pPr>
        <w:spacing w:line="440" w:lineRule="exact"/>
        <w:ind w:firstLine="420" w:firstLineChars="200"/>
        <w:rPr>
          <w:rFonts w:ascii="宋体" w:hAnsi="宋体" w:cs="宋体"/>
          <w:szCs w:val="21"/>
        </w:rPr>
      </w:pPr>
      <w:r>
        <w:rPr>
          <w:rFonts w:hint="eastAsia" w:ascii="宋体" w:hAnsi="宋体" w:cs="宋体"/>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695B4D90">
      <w:pPr>
        <w:widowControl/>
        <w:spacing w:line="360" w:lineRule="exact"/>
        <w:ind w:firstLine="420" w:firstLineChars="200"/>
        <w:jc w:val="left"/>
        <w:rPr>
          <w:rFonts w:ascii="宋体" w:hAnsi="宋体" w:cs="宋体"/>
          <w:szCs w:val="21"/>
        </w:rPr>
      </w:pPr>
    </w:p>
    <w:p w14:paraId="600995EE">
      <w:pPr>
        <w:widowControl/>
        <w:spacing w:line="360" w:lineRule="exact"/>
        <w:ind w:firstLine="420" w:firstLineChars="200"/>
        <w:jc w:val="left"/>
        <w:rPr>
          <w:rFonts w:ascii="宋体" w:hAnsi="宋体" w:cs="宋体"/>
          <w:szCs w:val="21"/>
        </w:rPr>
      </w:pPr>
    </w:p>
    <w:p w14:paraId="466DAF4F">
      <w:pPr>
        <w:widowControl/>
        <w:spacing w:line="360" w:lineRule="exact"/>
        <w:ind w:firstLine="420" w:firstLineChars="200"/>
        <w:jc w:val="left"/>
        <w:rPr>
          <w:rFonts w:ascii="宋体" w:hAnsi="宋体" w:cs="宋体"/>
          <w:szCs w:val="21"/>
        </w:rPr>
      </w:pPr>
    </w:p>
    <w:p w14:paraId="44558E2F">
      <w:pPr>
        <w:widowControl/>
        <w:spacing w:line="360" w:lineRule="exact"/>
        <w:ind w:firstLine="420" w:firstLineChars="200"/>
        <w:jc w:val="left"/>
        <w:rPr>
          <w:rFonts w:ascii="宋体" w:hAnsi="宋体" w:cs="宋体"/>
          <w:szCs w:val="21"/>
        </w:rPr>
      </w:pPr>
    </w:p>
    <w:p w14:paraId="6A96ECBD">
      <w:pPr>
        <w:widowControl/>
        <w:spacing w:line="360" w:lineRule="exact"/>
        <w:ind w:firstLine="420" w:firstLineChars="200"/>
        <w:jc w:val="left"/>
        <w:rPr>
          <w:rFonts w:ascii="宋体" w:hAnsi="宋体" w:cs="宋体"/>
          <w:szCs w:val="21"/>
        </w:rPr>
      </w:pPr>
    </w:p>
    <w:p w14:paraId="3D47FC2E">
      <w:pPr>
        <w:widowControl/>
        <w:spacing w:line="360" w:lineRule="exact"/>
        <w:ind w:firstLine="420" w:firstLineChars="200"/>
        <w:jc w:val="left"/>
        <w:rPr>
          <w:rFonts w:ascii="宋体" w:hAnsi="宋体" w:cs="宋体"/>
          <w:szCs w:val="21"/>
        </w:rPr>
      </w:pPr>
    </w:p>
    <w:p w14:paraId="42123F7D">
      <w:pPr>
        <w:widowControl/>
        <w:spacing w:line="360" w:lineRule="exact"/>
        <w:ind w:firstLine="420" w:firstLineChars="200"/>
        <w:jc w:val="left"/>
        <w:rPr>
          <w:rFonts w:ascii="宋体" w:hAnsi="宋体" w:cs="宋体"/>
          <w:szCs w:val="21"/>
        </w:rPr>
      </w:pPr>
    </w:p>
    <w:bookmarkEnd w:id="26"/>
    <w:p w14:paraId="1A4AB236">
      <w:pPr>
        <w:pStyle w:val="2"/>
        <w:jc w:val="center"/>
        <w:rPr>
          <w:rFonts w:ascii="宋体" w:hAnsi="宋体" w:cs="宋体"/>
          <w:sz w:val="32"/>
          <w:szCs w:val="32"/>
        </w:rPr>
      </w:pPr>
      <w:bookmarkStart w:id="27" w:name="_Toc398107886"/>
      <w:bookmarkStart w:id="28" w:name="_Toc179632618"/>
      <w:bookmarkStart w:id="29" w:name="_Toc152042377"/>
      <w:bookmarkStart w:id="30" w:name="_Toc152045600"/>
      <w:bookmarkStart w:id="31" w:name="_Toc144974567"/>
      <w:r>
        <w:rPr>
          <w:rFonts w:hint="eastAsia" w:ascii="宋体" w:hAnsi="宋体" w:cs="宋体"/>
          <w:sz w:val="32"/>
          <w:szCs w:val="32"/>
        </w:rPr>
        <w:t>第三章 评标办法（</w:t>
      </w:r>
      <w:r>
        <w:rPr>
          <w:rFonts w:hint="eastAsia" w:ascii="宋体" w:hAnsi="宋体" w:cs="宋体"/>
          <w:color w:val="000000"/>
          <w:sz w:val="32"/>
          <w:szCs w:val="32"/>
        </w:rPr>
        <w:t>综合评估法</w:t>
      </w:r>
      <w:r>
        <w:rPr>
          <w:rFonts w:hint="eastAsia" w:ascii="宋体" w:hAnsi="宋体" w:cs="宋体"/>
          <w:sz w:val="32"/>
          <w:szCs w:val="32"/>
        </w:rPr>
        <w:t>）</w:t>
      </w:r>
      <w:bookmarkEnd w:id="27"/>
    </w:p>
    <w:p w14:paraId="12B718DC">
      <w:pPr>
        <w:jc w:val="center"/>
        <w:rPr>
          <w:rFonts w:ascii="宋体" w:hAnsi="宋体" w:cs="宋体"/>
          <w:b/>
          <w:bCs/>
          <w:sz w:val="28"/>
          <w:szCs w:val="28"/>
        </w:rPr>
      </w:pPr>
      <w:bookmarkStart w:id="32" w:name="_Toc179632617"/>
      <w:bookmarkStart w:id="33" w:name="_Toc398107887"/>
      <w:bookmarkStart w:id="34" w:name="_Toc152042376"/>
      <w:bookmarkStart w:id="35" w:name="_Toc152045599"/>
      <w:bookmarkStart w:id="36" w:name="_Toc144974566"/>
      <w:r>
        <w:rPr>
          <w:rFonts w:hint="eastAsia" w:ascii="宋体" w:hAnsi="宋体" w:cs="宋体"/>
          <w:b/>
          <w:bCs/>
          <w:sz w:val="28"/>
          <w:szCs w:val="28"/>
        </w:rPr>
        <w:t>评标办法前附表</w:t>
      </w:r>
      <w:bookmarkEnd w:id="32"/>
      <w:bookmarkEnd w:id="33"/>
      <w:bookmarkEnd w:id="34"/>
      <w:bookmarkEnd w:id="35"/>
      <w:bookmarkEnd w:id="36"/>
    </w:p>
    <w:tbl>
      <w:tblPr>
        <w:tblStyle w:val="14"/>
        <w:tblW w:w="100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8"/>
        <w:gridCol w:w="981"/>
        <w:gridCol w:w="2410"/>
        <w:gridCol w:w="5786"/>
      </w:tblGrid>
      <w:tr w14:paraId="6A16A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005" w:type="dxa"/>
            <w:gridSpan w:val="4"/>
            <w:tcBorders>
              <w:top w:val="single" w:color="auto" w:sz="4" w:space="0"/>
              <w:left w:val="single" w:color="auto" w:sz="4" w:space="0"/>
              <w:bottom w:val="single" w:color="auto" w:sz="4" w:space="0"/>
              <w:right w:val="single" w:color="auto" w:sz="4" w:space="0"/>
            </w:tcBorders>
            <w:noWrap/>
            <w:vAlign w:val="center"/>
          </w:tcPr>
          <w:p w14:paraId="0DEC02B7">
            <w:pPr>
              <w:jc w:val="center"/>
              <w:textAlignment w:val="center"/>
              <w:rPr>
                <w:rFonts w:ascii="宋体" w:hAnsi="宋体" w:cs="宋体"/>
                <w:b/>
                <w:szCs w:val="21"/>
              </w:rPr>
            </w:pPr>
            <w:r>
              <w:rPr>
                <w:rFonts w:hint="eastAsia" w:ascii="宋体" w:hAnsi="宋体" w:cs="宋体"/>
                <w:szCs w:val="21"/>
              </w:rPr>
              <w:t>2.1评标入围</w:t>
            </w:r>
          </w:p>
        </w:tc>
      </w:tr>
      <w:tr w14:paraId="1908E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09" w:type="dxa"/>
            <w:gridSpan w:val="2"/>
            <w:tcBorders>
              <w:top w:val="single" w:color="auto" w:sz="4" w:space="0"/>
              <w:left w:val="single" w:color="auto" w:sz="4" w:space="0"/>
              <w:bottom w:val="single" w:color="auto" w:sz="4" w:space="0"/>
              <w:right w:val="single" w:color="auto" w:sz="4" w:space="0"/>
            </w:tcBorders>
            <w:noWrap/>
            <w:vAlign w:val="center"/>
          </w:tcPr>
          <w:p w14:paraId="78E800B9">
            <w:pPr>
              <w:jc w:val="center"/>
              <w:textAlignment w:val="center"/>
              <w:rPr>
                <w:rFonts w:ascii="宋体" w:hAnsi="宋体" w:cs="宋体"/>
                <w:b/>
                <w:szCs w:val="21"/>
              </w:rPr>
            </w:pPr>
            <w:r>
              <w:rPr>
                <w:rFonts w:hint="eastAsia" w:ascii="宋体" w:hAnsi="宋体" w:cs="宋体"/>
                <w:b/>
                <w:szCs w:val="21"/>
              </w:rPr>
              <w:t>条款号</w:t>
            </w:r>
          </w:p>
        </w:tc>
        <w:tc>
          <w:tcPr>
            <w:tcW w:w="2410" w:type="dxa"/>
            <w:tcBorders>
              <w:top w:val="single" w:color="auto" w:sz="4" w:space="0"/>
              <w:left w:val="single" w:color="auto" w:sz="4" w:space="0"/>
              <w:bottom w:val="single" w:color="auto" w:sz="4" w:space="0"/>
              <w:right w:val="single" w:color="auto" w:sz="4" w:space="0"/>
            </w:tcBorders>
            <w:noWrap/>
            <w:vAlign w:val="center"/>
          </w:tcPr>
          <w:p w14:paraId="3BC77399">
            <w:pPr>
              <w:jc w:val="center"/>
              <w:textAlignment w:val="center"/>
              <w:rPr>
                <w:rFonts w:ascii="宋体" w:hAnsi="宋体" w:cs="宋体"/>
                <w:szCs w:val="21"/>
              </w:rPr>
            </w:pPr>
            <w:r>
              <w:rPr>
                <w:rFonts w:hint="eastAsia" w:ascii="宋体" w:hAnsi="宋体" w:cs="宋体"/>
                <w:b/>
                <w:szCs w:val="21"/>
              </w:rPr>
              <w:t>评审因素</w:t>
            </w:r>
          </w:p>
        </w:tc>
        <w:tc>
          <w:tcPr>
            <w:tcW w:w="5786" w:type="dxa"/>
            <w:tcBorders>
              <w:top w:val="single" w:color="auto" w:sz="4" w:space="0"/>
              <w:left w:val="single" w:color="auto" w:sz="4" w:space="0"/>
              <w:bottom w:val="single" w:color="auto" w:sz="4" w:space="0"/>
              <w:right w:val="single" w:color="auto" w:sz="4" w:space="0"/>
            </w:tcBorders>
            <w:noWrap/>
            <w:vAlign w:val="center"/>
          </w:tcPr>
          <w:p w14:paraId="518A8720">
            <w:pPr>
              <w:jc w:val="center"/>
              <w:textAlignment w:val="center"/>
              <w:rPr>
                <w:rFonts w:ascii="宋体" w:hAnsi="宋体" w:cs="宋体"/>
                <w:b/>
                <w:szCs w:val="21"/>
              </w:rPr>
            </w:pPr>
            <w:r>
              <w:rPr>
                <w:rFonts w:hint="eastAsia" w:ascii="宋体" w:hAnsi="宋体" w:cs="宋体"/>
                <w:b/>
                <w:szCs w:val="21"/>
              </w:rPr>
              <w:t>评审标准</w:t>
            </w:r>
          </w:p>
        </w:tc>
      </w:tr>
      <w:tr w14:paraId="6ADA33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1809" w:type="dxa"/>
            <w:gridSpan w:val="2"/>
            <w:tcBorders>
              <w:top w:val="single" w:color="auto" w:sz="4" w:space="0"/>
              <w:left w:val="single" w:color="auto" w:sz="4" w:space="0"/>
              <w:bottom w:val="single" w:color="auto" w:sz="4" w:space="0"/>
              <w:right w:val="single" w:color="auto" w:sz="4" w:space="0"/>
            </w:tcBorders>
            <w:noWrap/>
            <w:vAlign w:val="center"/>
          </w:tcPr>
          <w:p w14:paraId="3AE73744">
            <w:pPr>
              <w:spacing w:line="360" w:lineRule="exact"/>
              <w:jc w:val="center"/>
              <w:rPr>
                <w:rFonts w:ascii="宋体" w:hAnsi="宋体" w:cs="宋体"/>
                <w:b/>
                <w:szCs w:val="21"/>
              </w:rPr>
            </w:pPr>
            <w:r>
              <w:rPr>
                <w:rFonts w:hint="eastAsia" w:ascii="宋体" w:hAnsi="宋体" w:cs="宋体"/>
                <w:szCs w:val="21"/>
              </w:rPr>
              <w:t>2.1.1</w:t>
            </w:r>
          </w:p>
        </w:tc>
        <w:tc>
          <w:tcPr>
            <w:tcW w:w="2410" w:type="dxa"/>
            <w:tcBorders>
              <w:top w:val="single" w:color="auto" w:sz="4" w:space="0"/>
              <w:left w:val="single" w:color="auto" w:sz="4" w:space="0"/>
              <w:bottom w:val="single" w:color="auto" w:sz="4" w:space="0"/>
              <w:right w:val="single" w:color="auto" w:sz="4" w:space="0"/>
            </w:tcBorders>
            <w:noWrap/>
            <w:vAlign w:val="center"/>
          </w:tcPr>
          <w:p w14:paraId="333784AC">
            <w:pPr>
              <w:autoSpaceDE w:val="0"/>
              <w:autoSpaceDN w:val="0"/>
              <w:adjustRightInd w:val="0"/>
              <w:spacing w:before="73" w:line="360" w:lineRule="exact"/>
              <w:ind w:right="-20"/>
              <w:jc w:val="center"/>
              <w:rPr>
                <w:rFonts w:ascii="宋体" w:hAnsi="宋体" w:cs="宋体"/>
                <w:szCs w:val="21"/>
              </w:rPr>
            </w:pPr>
            <w:r>
              <w:rPr>
                <w:rFonts w:hint="eastAsia" w:ascii="宋体" w:hAnsi="宋体" w:cs="宋体"/>
                <w:szCs w:val="21"/>
              </w:rPr>
              <w:t>评标入围方法和数量</w:t>
            </w:r>
          </w:p>
        </w:tc>
        <w:tc>
          <w:tcPr>
            <w:tcW w:w="5786" w:type="dxa"/>
            <w:tcBorders>
              <w:top w:val="single" w:color="auto" w:sz="4" w:space="0"/>
              <w:left w:val="single" w:color="auto" w:sz="4" w:space="0"/>
              <w:bottom w:val="single" w:color="auto" w:sz="4" w:space="0"/>
              <w:right w:val="single" w:color="auto" w:sz="4" w:space="0"/>
            </w:tcBorders>
            <w:noWrap/>
            <w:vAlign w:val="center"/>
          </w:tcPr>
          <w:p w14:paraId="7A0AEDFA">
            <w:pPr>
              <w:spacing w:line="360" w:lineRule="exact"/>
              <w:ind w:firstLine="422" w:firstLineChars="200"/>
              <w:rPr>
                <w:rFonts w:ascii="宋体" w:hAnsi="宋体" w:cs="宋体"/>
                <w:b/>
                <w:szCs w:val="21"/>
              </w:rPr>
            </w:pPr>
            <w:r>
              <w:rPr>
                <w:rFonts w:hint="eastAsia" w:ascii="宋体" w:hAnsi="宋体" w:cs="宋体"/>
                <w:b/>
                <w:bCs/>
                <w:szCs w:val="21"/>
              </w:rPr>
              <w:t>全部入围</w:t>
            </w:r>
          </w:p>
        </w:tc>
      </w:tr>
      <w:tr w14:paraId="618FD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005" w:type="dxa"/>
            <w:gridSpan w:val="4"/>
            <w:tcBorders>
              <w:top w:val="single" w:color="auto" w:sz="4" w:space="0"/>
              <w:left w:val="single" w:color="auto" w:sz="4" w:space="0"/>
              <w:bottom w:val="single" w:color="auto" w:sz="4" w:space="0"/>
              <w:right w:val="single" w:color="auto" w:sz="4" w:space="0"/>
            </w:tcBorders>
            <w:noWrap/>
            <w:vAlign w:val="center"/>
          </w:tcPr>
          <w:p w14:paraId="5AC1FD5B">
            <w:pPr>
              <w:jc w:val="center"/>
              <w:textAlignment w:val="center"/>
              <w:rPr>
                <w:rFonts w:ascii="宋体" w:hAnsi="宋体" w:cs="宋体"/>
                <w:b/>
                <w:szCs w:val="21"/>
              </w:rPr>
            </w:pPr>
            <w:r>
              <w:rPr>
                <w:rFonts w:hint="eastAsia" w:ascii="宋体" w:hAnsi="宋体" w:cs="宋体"/>
                <w:szCs w:val="21"/>
              </w:rPr>
              <w:t>2.2初步评审</w:t>
            </w:r>
          </w:p>
        </w:tc>
      </w:tr>
      <w:tr w14:paraId="644026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828" w:type="dxa"/>
            <w:vMerge w:val="restart"/>
            <w:tcBorders>
              <w:top w:val="single" w:color="auto" w:sz="4" w:space="0"/>
              <w:right w:val="single" w:color="auto" w:sz="4" w:space="0"/>
            </w:tcBorders>
            <w:noWrap/>
            <w:vAlign w:val="center"/>
          </w:tcPr>
          <w:p w14:paraId="263B8251">
            <w:pPr>
              <w:textAlignment w:val="center"/>
              <w:rPr>
                <w:rFonts w:ascii="宋体" w:hAnsi="宋体" w:cs="宋体"/>
                <w:szCs w:val="21"/>
              </w:rPr>
            </w:pPr>
            <w:r>
              <w:rPr>
                <w:rFonts w:hint="eastAsia" w:ascii="宋体" w:hAnsi="宋体" w:cs="宋体"/>
                <w:szCs w:val="21"/>
              </w:rPr>
              <w:t>2.2.1</w:t>
            </w:r>
          </w:p>
        </w:tc>
        <w:tc>
          <w:tcPr>
            <w:tcW w:w="981" w:type="dxa"/>
            <w:vMerge w:val="restart"/>
            <w:tcBorders>
              <w:top w:val="single" w:color="auto" w:sz="4" w:space="0"/>
              <w:right w:val="single" w:color="auto" w:sz="4" w:space="0"/>
            </w:tcBorders>
            <w:noWrap/>
            <w:vAlign w:val="center"/>
          </w:tcPr>
          <w:p w14:paraId="183D6A3F">
            <w:pPr>
              <w:textAlignment w:val="center"/>
              <w:rPr>
                <w:rFonts w:ascii="宋体" w:hAnsi="宋体" w:cs="宋体"/>
                <w:szCs w:val="21"/>
              </w:rPr>
            </w:pPr>
            <w:r>
              <w:rPr>
                <w:rFonts w:hint="eastAsia" w:ascii="宋体" w:hAnsi="宋体" w:cs="宋体"/>
                <w:szCs w:val="21"/>
              </w:rPr>
              <w:t>资格评审标准</w:t>
            </w:r>
          </w:p>
        </w:tc>
        <w:tc>
          <w:tcPr>
            <w:tcW w:w="2410" w:type="dxa"/>
            <w:tcBorders>
              <w:top w:val="single" w:color="auto" w:sz="4" w:space="0"/>
              <w:left w:val="single" w:color="auto" w:sz="4" w:space="0"/>
              <w:bottom w:val="single" w:color="auto" w:sz="4" w:space="0"/>
              <w:right w:val="single" w:color="auto" w:sz="4" w:space="0"/>
            </w:tcBorders>
            <w:noWrap/>
            <w:vAlign w:val="center"/>
          </w:tcPr>
          <w:p w14:paraId="7017A12D">
            <w:pPr>
              <w:textAlignment w:val="center"/>
              <w:rPr>
                <w:rFonts w:ascii="宋体" w:hAnsi="宋体" w:cs="宋体"/>
                <w:szCs w:val="21"/>
              </w:rPr>
            </w:pPr>
            <w:r>
              <w:rPr>
                <w:rFonts w:hint="eastAsia" w:ascii="宋体" w:hAnsi="宋体" w:cs="宋体"/>
                <w:szCs w:val="21"/>
              </w:rPr>
              <w:t>法人身份证明书</w:t>
            </w:r>
          </w:p>
          <w:p w14:paraId="2E9B0667">
            <w:pPr>
              <w:textAlignment w:val="center"/>
              <w:rPr>
                <w:rFonts w:hint="eastAsia" w:ascii="宋体" w:hAnsi="宋体" w:eastAsia="宋体" w:cs="宋体"/>
                <w:szCs w:val="21"/>
                <w:lang w:eastAsia="zh-CN"/>
              </w:rPr>
            </w:pPr>
            <w:r>
              <w:rPr>
                <w:rFonts w:hint="eastAsia" w:ascii="宋体" w:hAnsi="宋体" w:cs="宋体"/>
                <w:szCs w:val="21"/>
              </w:rPr>
              <w:t>法人授权委托书</w:t>
            </w:r>
            <w:r>
              <w:rPr>
                <w:rFonts w:hint="eastAsia" w:ascii="宋体" w:hAnsi="宋体" w:cs="宋体"/>
                <w:szCs w:val="21"/>
                <w:lang w:eastAsia="zh-CN"/>
              </w:rPr>
              <w:t>（</w:t>
            </w:r>
            <w:r>
              <w:rPr>
                <w:rFonts w:hint="eastAsia" w:ascii="宋体" w:hAnsi="宋体" w:cs="宋体"/>
                <w:szCs w:val="21"/>
                <w:lang w:val="en-US" w:eastAsia="zh-CN"/>
              </w:rPr>
              <w:t>如有</w:t>
            </w:r>
            <w:r>
              <w:rPr>
                <w:rFonts w:hint="eastAsia" w:ascii="宋体" w:hAnsi="宋体" w:cs="宋体"/>
                <w:szCs w:val="21"/>
                <w:lang w:eastAsia="zh-CN"/>
              </w:rPr>
              <w:t>）</w:t>
            </w:r>
          </w:p>
        </w:tc>
        <w:tc>
          <w:tcPr>
            <w:tcW w:w="5786" w:type="dxa"/>
            <w:tcBorders>
              <w:top w:val="single" w:color="auto" w:sz="4" w:space="0"/>
              <w:left w:val="single" w:color="auto" w:sz="4" w:space="0"/>
              <w:bottom w:val="single" w:color="auto" w:sz="4" w:space="0"/>
              <w:right w:val="single" w:color="auto" w:sz="4" w:space="0"/>
            </w:tcBorders>
            <w:noWrap/>
            <w:vAlign w:val="center"/>
          </w:tcPr>
          <w:p w14:paraId="38EF52C4">
            <w:pPr>
              <w:textAlignment w:val="center"/>
              <w:rPr>
                <w:rFonts w:ascii="宋体" w:hAnsi="宋体" w:cs="宋体"/>
                <w:szCs w:val="21"/>
              </w:rPr>
            </w:pPr>
            <w:r>
              <w:rPr>
                <w:rFonts w:hint="eastAsia" w:ascii="宋体" w:hAnsi="宋体" w:cs="宋体"/>
                <w:szCs w:val="21"/>
              </w:rPr>
              <w:t>加盖法人公章原件</w:t>
            </w:r>
          </w:p>
        </w:tc>
      </w:tr>
      <w:tr w14:paraId="21A38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828" w:type="dxa"/>
            <w:vMerge w:val="continue"/>
            <w:tcBorders>
              <w:right w:val="single" w:color="auto" w:sz="4" w:space="0"/>
            </w:tcBorders>
            <w:noWrap/>
            <w:vAlign w:val="center"/>
          </w:tcPr>
          <w:p w14:paraId="74475B54">
            <w:pPr>
              <w:textAlignment w:val="center"/>
              <w:rPr>
                <w:rFonts w:ascii="宋体" w:hAnsi="宋体" w:cs="宋体"/>
                <w:szCs w:val="21"/>
              </w:rPr>
            </w:pPr>
          </w:p>
        </w:tc>
        <w:tc>
          <w:tcPr>
            <w:tcW w:w="981" w:type="dxa"/>
            <w:vMerge w:val="continue"/>
            <w:tcBorders>
              <w:right w:val="single" w:color="auto" w:sz="4" w:space="0"/>
            </w:tcBorders>
            <w:noWrap/>
            <w:vAlign w:val="center"/>
          </w:tcPr>
          <w:p w14:paraId="5C7EE03C">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0335B07E">
            <w:pPr>
              <w:textAlignment w:val="center"/>
              <w:rPr>
                <w:rFonts w:ascii="宋体" w:hAnsi="宋体" w:cs="宋体"/>
                <w:szCs w:val="21"/>
              </w:rPr>
            </w:pPr>
            <w:r>
              <w:rPr>
                <w:rFonts w:hint="eastAsia" w:ascii="宋体" w:hAnsi="宋体" w:cs="宋体"/>
                <w:szCs w:val="21"/>
              </w:rPr>
              <w:t>营业执照</w:t>
            </w:r>
          </w:p>
        </w:tc>
        <w:tc>
          <w:tcPr>
            <w:tcW w:w="5786" w:type="dxa"/>
            <w:tcBorders>
              <w:top w:val="single" w:color="auto" w:sz="4" w:space="0"/>
              <w:left w:val="single" w:color="auto" w:sz="4" w:space="0"/>
              <w:bottom w:val="single" w:color="auto" w:sz="4" w:space="0"/>
              <w:right w:val="single" w:color="auto" w:sz="4" w:space="0"/>
            </w:tcBorders>
            <w:noWrap/>
            <w:vAlign w:val="center"/>
          </w:tcPr>
          <w:p w14:paraId="370585DC">
            <w:pPr>
              <w:textAlignment w:val="center"/>
              <w:rPr>
                <w:rFonts w:ascii="宋体" w:hAnsi="宋体" w:cs="宋体"/>
                <w:szCs w:val="21"/>
              </w:rPr>
            </w:pPr>
            <w:r>
              <w:rPr>
                <w:rFonts w:hint="eastAsia" w:ascii="宋体" w:hAnsi="宋体" w:cs="宋体"/>
                <w:szCs w:val="21"/>
              </w:rPr>
              <w:t>具备有效的营业执照</w:t>
            </w:r>
          </w:p>
        </w:tc>
      </w:tr>
      <w:tr w14:paraId="7B6C2E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828" w:type="dxa"/>
            <w:vMerge w:val="continue"/>
            <w:tcBorders>
              <w:right w:val="single" w:color="auto" w:sz="4" w:space="0"/>
            </w:tcBorders>
            <w:noWrap/>
            <w:vAlign w:val="center"/>
          </w:tcPr>
          <w:p w14:paraId="7F6256A3">
            <w:pPr>
              <w:textAlignment w:val="center"/>
              <w:rPr>
                <w:rFonts w:ascii="宋体" w:hAnsi="宋体" w:cs="宋体"/>
                <w:szCs w:val="21"/>
              </w:rPr>
            </w:pPr>
          </w:p>
        </w:tc>
        <w:tc>
          <w:tcPr>
            <w:tcW w:w="981" w:type="dxa"/>
            <w:vMerge w:val="continue"/>
            <w:tcBorders>
              <w:right w:val="single" w:color="auto" w:sz="4" w:space="0"/>
            </w:tcBorders>
            <w:noWrap/>
            <w:vAlign w:val="center"/>
          </w:tcPr>
          <w:p w14:paraId="01C4DEF7">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03FE8A71">
            <w:pPr>
              <w:textAlignment w:val="center"/>
              <w:rPr>
                <w:rFonts w:ascii="宋体" w:hAnsi="宋体" w:cs="宋体"/>
                <w:szCs w:val="21"/>
              </w:rPr>
            </w:pPr>
            <w:r>
              <w:rPr>
                <w:rFonts w:hint="eastAsia" w:ascii="宋体" w:hAnsi="宋体" w:cs="宋体"/>
                <w:szCs w:val="21"/>
              </w:rPr>
              <w:t>资质证书</w:t>
            </w:r>
          </w:p>
        </w:tc>
        <w:tc>
          <w:tcPr>
            <w:tcW w:w="5786" w:type="dxa"/>
            <w:tcBorders>
              <w:top w:val="single" w:color="auto" w:sz="4" w:space="0"/>
              <w:left w:val="single" w:color="auto" w:sz="4" w:space="0"/>
              <w:bottom w:val="single" w:color="auto" w:sz="4" w:space="0"/>
              <w:right w:val="single" w:color="auto" w:sz="4" w:space="0"/>
            </w:tcBorders>
            <w:noWrap/>
            <w:vAlign w:val="center"/>
          </w:tcPr>
          <w:p w14:paraId="02CA99A0">
            <w:pPr>
              <w:textAlignment w:val="center"/>
              <w:rPr>
                <w:rFonts w:ascii="宋体" w:hAnsi="宋体" w:cs="宋体"/>
                <w:szCs w:val="21"/>
              </w:rPr>
            </w:pPr>
            <w:r>
              <w:rPr>
                <w:rFonts w:hint="eastAsia" w:ascii="宋体" w:hAnsi="宋体" w:cs="宋体"/>
                <w:szCs w:val="21"/>
              </w:rPr>
              <w:t>电力工程监理</w:t>
            </w:r>
            <w:r>
              <w:rPr>
                <w:rFonts w:hint="eastAsia" w:ascii="宋体" w:hAnsi="宋体" w:cs="宋体"/>
                <w:szCs w:val="21"/>
                <w:lang w:val="en-US" w:eastAsia="zh-CN"/>
              </w:rPr>
              <w:t>乙</w:t>
            </w:r>
            <w:r>
              <w:rPr>
                <w:rFonts w:hint="eastAsia" w:ascii="宋体" w:hAnsi="宋体" w:cs="宋体"/>
                <w:szCs w:val="21"/>
              </w:rPr>
              <w:t>级</w:t>
            </w:r>
            <w:r>
              <w:rPr>
                <w:rFonts w:hint="eastAsia" w:ascii="宋体" w:hAnsi="宋体" w:cs="宋体"/>
                <w:szCs w:val="21"/>
                <w:lang w:val="en-US" w:eastAsia="zh-CN"/>
              </w:rPr>
              <w:t>及以上</w:t>
            </w:r>
            <w:r>
              <w:rPr>
                <w:rFonts w:hint="eastAsia" w:ascii="宋体" w:hAnsi="宋体" w:cs="宋体"/>
                <w:szCs w:val="21"/>
              </w:rPr>
              <w:t>资质或工程监理综合资质</w:t>
            </w:r>
          </w:p>
        </w:tc>
      </w:tr>
      <w:tr w14:paraId="44C78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828" w:type="dxa"/>
            <w:vMerge w:val="continue"/>
            <w:tcBorders>
              <w:right w:val="single" w:color="auto" w:sz="4" w:space="0"/>
            </w:tcBorders>
            <w:noWrap/>
            <w:vAlign w:val="center"/>
          </w:tcPr>
          <w:p w14:paraId="34985954">
            <w:pPr>
              <w:textAlignment w:val="center"/>
              <w:rPr>
                <w:rFonts w:ascii="宋体" w:hAnsi="宋体" w:cs="宋体"/>
                <w:szCs w:val="21"/>
              </w:rPr>
            </w:pPr>
          </w:p>
        </w:tc>
        <w:tc>
          <w:tcPr>
            <w:tcW w:w="981" w:type="dxa"/>
            <w:vMerge w:val="continue"/>
            <w:tcBorders>
              <w:right w:val="single" w:color="auto" w:sz="4" w:space="0"/>
            </w:tcBorders>
            <w:noWrap/>
            <w:vAlign w:val="center"/>
          </w:tcPr>
          <w:p w14:paraId="690E61B1">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030E1052">
            <w:pPr>
              <w:textAlignment w:val="center"/>
              <w:rPr>
                <w:rFonts w:ascii="宋体" w:hAnsi="宋体" w:cs="宋体"/>
                <w:szCs w:val="21"/>
              </w:rPr>
            </w:pPr>
            <w:r>
              <w:rPr>
                <w:rFonts w:hint="eastAsia" w:ascii="宋体" w:hAnsi="宋体" w:cs="宋体"/>
                <w:szCs w:val="21"/>
              </w:rPr>
              <w:t>总监理工程师</w:t>
            </w:r>
          </w:p>
        </w:tc>
        <w:tc>
          <w:tcPr>
            <w:tcW w:w="5786" w:type="dxa"/>
            <w:tcBorders>
              <w:top w:val="single" w:color="auto" w:sz="4" w:space="0"/>
              <w:left w:val="single" w:color="auto" w:sz="4" w:space="0"/>
              <w:bottom w:val="single" w:color="auto" w:sz="4" w:space="0"/>
              <w:right w:val="single" w:color="auto" w:sz="4" w:space="0"/>
            </w:tcBorders>
            <w:noWrap/>
            <w:vAlign w:val="center"/>
          </w:tcPr>
          <w:p w14:paraId="025BCDFB">
            <w:pPr>
              <w:textAlignment w:val="center"/>
              <w:rPr>
                <w:rFonts w:ascii="宋体" w:hAnsi="宋体" w:cs="宋体"/>
                <w:szCs w:val="21"/>
              </w:rPr>
            </w:pPr>
            <w:r>
              <w:rPr>
                <w:rFonts w:hint="eastAsia" w:ascii="宋体" w:hAnsi="宋体" w:cs="宋体"/>
                <w:szCs w:val="21"/>
              </w:rPr>
              <w:t>国家注册监理工程师执业资格（注册专业为电力工程）。</w:t>
            </w:r>
          </w:p>
        </w:tc>
      </w:tr>
      <w:tr w14:paraId="1E02D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828" w:type="dxa"/>
            <w:vMerge w:val="continue"/>
            <w:tcBorders>
              <w:right w:val="single" w:color="auto" w:sz="4" w:space="0"/>
            </w:tcBorders>
            <w:noWrap/>
            <w:vAlign w:val="center"/>
          </w:tcPr>
          <w:p w14:paraId="1AF16763">
            <w:pPr>
              <w:textAlignment w:val="center"/>
              <w:rPr>
                <w:rFonts w:ascii="宋体" w:hAnsi="宋体" w:cs="宋体"/>
                <w:szCs w:val="21"/>
              </w:rPr>
            </w:pPr>
          </w:p>
        </w:tc>
        <w:tc>
          <w:tcPr>
            <w:tcW w:w="981" w:type="dxa"/>
            <w:vMerge w:val="continue"/>
            <w:tcBorders>
              <w:right w:val="single" w:color="auto" w:sz="4" w:space="0"/>
            </w:tcBorders>
            <w:noWrap/>
            <w:vAlign w:val="center"/>
          </w:tcPr>
          <w:p w14:paraId="5CDDA35C">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1F4D2E4E">
            <w:pPr>
              <w:textAlignment w:val="center"/>
              <w:rPr>
                <w:rFonts w:ascii="宋体" w:hAnsi="宋体" w:cs="宋体"/>
                <w:szCs w:val="21"/>
              </w:rPr>
            </w:pPr>
            <w:r>
              <w:rPr>
                <w:rFonts w:hint="eastAsia" w:ascii="宋体" w:hAnsi="宋体" w:cs="宋体"/>
                <w:szCs w:val="21"/>
              </w:rPr>
              <w:t>专业监理工程师</w:t>
            </w:r>
          </w:p>
        </w:tc>
        <w:tc>
          <w:tcPr>
            <w:tcW w:w="5786" w:type="dxa"/>
            <w:tcBorders>
              <w:top w:val="single" w:color="auto" w:sz="4" w:space="0"/>
              <w:left w:val="single" w:color="auto" w:sz="4" w:space="0"/>
              <w:bottom w:val="single" w:color="auto" w:sz="4" w:space="0"/>
              <w:right w:val="single" w:color="auto" w:sz="4" w:space="0"/>
            </w:tcBorders>
            <w:noWrap/>
            <w:vAlign w:val="center"/>
          </w:tcPr>
          <w:p w14:paraId="298F73E2">
            <w:pPr>
              <w:textAlignment w:val="center"/>
              <w:rPr>
                <w:rFonts w:ascii="宋体" w:hAnsi="宋体" w:cs="宋体"/>
                <w:b/>
                <w:szCs w:val="21"/>
              </w:rPr>
            </w:pPr>
            <w:r>
              <w:rPr>
                <w:rFonts w:hint="eastAsia" w:ascii="宋体" w:hAnsi="宋体" w:cs="宋体"/>
                <w:b/>
                <w:szCs w:val="21"/>
              </w:rPr>
              <w:t>拟派专业监理工程师缴纳的投标截止时间（不含当月）前三个月中任意一个月的社保证明、劳动合同、</w:t>
            </w:r>
            <w:r>
              <w:rPr>
                <w:rFonts w:hint="eastAsia" w:ascii="宋体" w:hAnsi="宋体" w:cs="宋体"/>
                <w:b/>
                <w:szCs w:val="21"/>
                <w:lang w:val="en-US" w:eastAsia="zh-CN"/>
              </w:rPr>
              <w:t>毕业</w:t>
            </w:r>
            <w:r>
              <w:rPr>
                <w:rFonts w:hint="eastAsia" w:ascii="宋体" w:hAnsi="宋体" w:cs="宋体"/>
                <w:b/>
                <w:szCs w:val="21"/>
              </w:rPr>
              <w:t>证书、注册证书或岗位证书</w:t>
            </w:r>
            <w:r>
              <w:rPr>
                <w:rFonts w:hint="eastAsia" w:ascii="宋体" w:hAnsi="宋体" w:cs="宋体"/>
                <w:b/>
                <w:szCs w:val="21"/>
                <w:lang w:val="en-US" w:eastAsia="zh-CN"/>
              </w:rPr>
              <w:t>或培训证</w:t>
            </w:r>
            <w:r>
              <w:rPr>
                <w:rFonts w:hint="eastAsia" w:ascii="宋体" w:hAnsi="宋体" w:cs="宋体"/>
                <w:b/>
                <w:szCs w:val="21"/>
              </w:rPr>
              <w:t>。</w:t>
            </w:r>
          </w:p>
          <w:p w14:paraId="308A6BE8">
            <w:pPr>
              <w:textAlignment w:val="center"/>
              <w:rPr>
                <w:rFonts w:ascii="宋体" w:hAnsi="宋体" w:cs="宋体"/>
                <w:szCs w:val="21"/>
              </w:rPr>
            </w:pPr>
            <w:r>
              <w:rPr>
                <w:b/>
                <w:bCs/>
                <w:spacing w:val="8"/>
                <w:sz w:val="20"/>
                <w:szCs w:val="20"/>
                <w:u w:val="single"/>
              </w:rPr>
              <w:t>如果所提供的证书不能</w:t>
            </w:r>
            <w:r>
              <w:rPr>
                <w:b/>
                <w:bCs/>
                <w:sz w:val="20"/>
                <w:szCs w:val="20"/>
                <w:u w:val="single"/>
              </w:rPr>
              <w:t>体现专业的，专业以所学专业或培训专业或职称评定专业（职称证书</w:t>
            </w:r>
            <w:r>
              <w:rPr>
                <w:b/>
                <w:bCs/>
                <w:spacing w:val="-1"/>
                <w:sz w:val="20"/>
                <w:szCs w:val="20"/>
                <w:u w:val="single"/>
              </w:rPr>
              <w:t>无专业的</w:t>
            </w:r>
            <w:r>
              <w:rPr>
                <w:rFonts w:hint="eastAsia"/>
                <w:b/>
                <w:bCs/>
                <w:spacing w:val="-1"/>
                <w:sz w:val="20"/>
                <w:szCs w:val="20"/>
                <w:u w:val="single"/>
              </w:rPr>
              <w:t>以</w:t>
            </w:r>
            <w:r>
              <w:rPr>
                <w:b/>
                <w:bCs/>
                <w:spacing w:val="-1"/>
                <w:sz w:val="20"/>
                <w:szCs w:val="20"/>
                <w:u w:val="single"/>
              </w:rPr>
              <w:t>职称评定表中专业）为</w:t>
            </w:r>
            <w:r>
              <w:rPr>
                <w:b/>
                <w:bCs/>
                <w:spacing w:val="-2"/>
                <w:sz w:val="20"/>
                <w:szCs w:val="20"/>
                <w:u w:val="single"/>
              </w:rPr>
              <w:t>准</w:t>
            </w:r>
            <w:r>
              <w:rPr>
                <w:rFonts w:hint="eastAsia"/>
                <w:b/>
                <w:bCs/>
                <w:spacing w:val="-2"/>
                <w:sz w:val="20"/>
                <w:szCs w:val="20"/>
                <w:u w:val="single"/>
              </w:rPr>
              <w:t>。</w:t>
            </w:r>
          </w:p>
        </w:tc>
      </w:tr>
      <w:tr w14:paraId="726C40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828" w:type="dxa"/>
            <w:vMerge w:val="continue"/>
            <w:tcBorders>
              <w:right w:val="single" w:color="auto" w:sz="4" w:space="0"/>
            </w:tcBorders>
            <w:noWrap/>
            <w:vAlign w:val="center"/>
          </w:tcPr>
          <w:p w14:paraId="6B1BBD66">
            <w:pPr>
              <w:textAlignment w:val="center"/>
              <w:rPr>
                <w:rFonts w:ascii="宋体" w:hAnsi="宋体" w:cs="宋体"/>
                <w:szCs w:val="21"/>
              </w:rPr>
            </w:pPr>
          </w:p>
        </w:tc>
        <w:tc>
          <w:tcPr>
            <w:tcW w:w="981" w:type="dxa"/>
            <w:vMerge w:val="continue"/>
            <w:tcBorders>
              <w:right w:val="single" w:color="auto" w:sz="4" w:space="0"/>
            </w:tcBorders>
            <w:noWrap/>
            <w:vAlign w:val="center"/>
          </w:tcPr>
          <w:p w14:paraId="4C90387E">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4DE9A09B">
            <w:pPr>
              <w:textAlignment w:val="center"/>
              <w:rPr>
                <w:rFonts w:ascii="宋体" w:hAnsi="宋体" w:cs="宋体"/>
                <w:szCs w:val="21"/>
              </w:rPr>
            </w:pPr>
            <w:r>
              <w:rPr>
                <w:rFonts w:hint="eastAsia" w:ascii="宋体" w:hAnsi="宋体" w:cs="宋体"/>
                <w:szCs w:val="21"/>
              </w:rPr>
              <w:t>监理员</w:t>
            </w:r>
          </w:p>
        </w:tc>
        <w:tc>
          <w:tcPr>
            <w:tcW w:w="5786" w:type="dxa"/>
            <w:tcBorders>
              <w:top w:val="single" w:color="auto" w:sz="4" w:space="0"/>
              <w:left w:val="single" w:color="auto" w:sz="4" w:space="0"/>
              <w:bottom w:val="single" w:color="auto" w:sz="4" w:space="0"/>
              <w:right w:val="single" w:color="auto" w:sz="4" w:space="0"/>
            </w:tcBorders>
            <w:noWrap/>
            <w:vAlign w:val="center"/>
          </w:tcPr>
          <w:p w14:paraId="2CC7F828">
            <w:pPr>
              <w:textAlignment w:val="center"/>
              <w:rPr>
                <w:rFonts w:ascii="宋体" w:hAnsi="宋体" w:cs="宋体"/>
                <w:b/>
                <w:szCs w:val="21"/>
              </w:rPr>
            </w:pPr>
            <w:r>
              <w:rPr>
                <w:rFonts w:hint="eastAsia" w:ascii="宋体" w:hAnsi="宋体" w:cs="宋体"/>
                <w:b/>
                <w:szCs w:val="21"/>
              </w:rPr>
              <w:t>拟派监理员缴纳的缴纳的投标截止时间（不含当月）前三个月中任意一个月的的社保证明、劳动合同、</w:t>
            </w:r>
            <w:r>
              <w:rPr>
                <w:rFonts w:hint="eastAsia" w:ascii="宋体" w:hAnsi="宋体" w:cs="宋体"/>
                <w:b/>
                <w:szCs w:val="21"/>
                <w:lang w:val="en-US" w:eastAsia="zh-CN"/>
              </w:rPr>
              <w:t>毕业</w:t>
            </w:r>
            <w:r>
              <w:rPr>
                <w:rFonts w:hint="eastAsia" w:ascii="宋体" w:hAnsi="宋体" w:cs="宋体"/>
                <w:b/>
                <w:szCs w:val="21"/>
              </w:rPr>
              <w:t>证书、注册证书或岗位证书</w:t>
            </w:r>
            <w:r>
              <w:rPr>
                <w:rFonts w:hint="eastAsia" w:ascii="宋体" w:hAnsi="宋体" w:cs="宋体"/>
                <w:b/>
                <w:szCs w:val="21"/>
                <w:lang w:val="en-US" w:eastAsia="zh-CN"/>
              </w:rPr>
              <w:t>或培训证</w:t>
            </w:r>
            <w:r>
              <w:rPr>
                <w:rFonts w:hint="eastAsia" w:ascii="宋体" w:hAnsi="宋体" w:cs="宋体"/>
                <w:b/>
                <w:szCs w:val="21"/>
              </w:rPr>
              <w:t>。</w:t>
            </w:r>
          </w:p>
        </w:tc>
      </w:tr>
      <w:tr w14:paraId="59105A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right w:val="single" w:color="auto" w:sz="4" w:space="0"/>
            </w:tcBorders>
            <w:noWrap/>
            <w:vAlign w:val="center"/>
          </w:tcPr>
          <w:p w14:paraId="4F207884">
            <w:pPr>
              <w:textAlignment w:val="center"/>
              <w:rPr>
                <w:rFonts w:ascii="宋体" w:hAnsi="宋体" w:cs="宋体"/>
                <w:szCs w:val="21"/>
              </w:rPr>
            </w:pPr>
          </w:p>
        </w:tc>
        <w:tc>
          <w:tcPr>
            <w:tcW w:w="981" w:type="dxa"/>
            <w:vMerge w:val="continue"/>
            <w:tcBorders>
              <w:right w:val="single" w:color="auto" w:sz="4" w:space="0"/>
            </w:tcBorders>
            <w:noWrap/>
            <w:vAlign w:val="center"/>
          </w:tcPr>
          <w:p w14:paraId="6085853D">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1CD92B0C">
            <w:pPr>
              <w:textAlignment w:val="center"/>
              <w:rPr>
                <w:rFonts w:ascii="宋体" w:hAnsi="宋体" w:cs="宋体"/>
                <w:szCs w:val="21"/>
              </w:rPr>
            </w:pPr>
            <w:r>
              <w:rPr>
                <w:rFonts w:hint="eastAsia" w:ascii="宋体" w:hAnsi="宋体" w:cs="宋体"/>
                <w:szCs w:val="21"/>
              </w:rPr>
              <w:t>拟派授权委托人</w:t>
            </w:r>
            <w:r>
              <w:rPr>
                <w:rFonts w:hint="eastAsia" w:ascii="宋体" w:hAnsi="宋体" w:cs="宋体"/>
                <w:szCs w:val="21"/>
                <w:lang w:eastAsia="zh-CN"/>
              </w:rPr>
              <w:t>（</w:t>
            </w:r>
            <w:r>
              <w:rPr>
                <w:rFonts w:hint="eastAsia" w:ascii="宋体" w:hAnsi="宋体" w:cs="宋体"/>
                <w:szCs w:val="21"/>
                <w:lang w:val="en-US" w:eastAsia="zh-CN"/>
              </w:rPr>
              <w:t>如有</w:t>
            </w:r>
            <w:r>
              <w:rPr>
                <w:rFonts w:hint="eastAsia" w:ascii="宋体" w:hAnsi="宋体" w:cs="宋体"/>
                <w:szCs w:val="21"/>
                <w:lang w:eastAsia="zh-CN"/>
              </w:rPr>
              <w:t>）</w:t>
            </w:r>
            <w:r>
              <w:rPr>
                <w:rFonts w:hint="eastAsia" w:ascii="宋体" w:hAnsi="宋体" w:cs="宋体"/>
                <w:szCs w:val="21"/>
              </w:rPr>
              <w:t>、总监理工程师为投标企业正式人员</w:t>
            </w:r>
          </w:p>
        </w:tc>
        <w:tc>
          <w:tcPr>
            <w:tcW w:w="5786" w:type="dxa"/>
            <w:tcBorders>
              <w:top w:val="single" w:color="auto" w:sz="4" w:space="0"/>
              <w:left w:val="single" w:color="auto" w:sz="4" w:space="0"/>
              <w:bottom w:val="single" w:color="auto" w:sz="4" w:space="0"/>
              <w:right w:val="single" w:color="auto" w:sz="4" w:space="0"/>
            </w:tcBorders>
            <w:noWrap/>
            <w:vAlign w:val="center"/>
          </w:tcPr>
          <w:p w14:paraId="28AA1190">
            <w:pPr>
              <w:textAlignment w:val="center"/>
              <w:rPr>
                <w:rFonts w:ascii="宋体" w:hAnsi="宋体" w:cs="宋体"/>
                <w:szCs w:val="21"/>
              </w:rPr>
            </w:pPr>
            <w:r>
              <w:rPr>
                <w:rFonts w:hint="eastAsia" w:ascii="宋体" w:hAnsi="宋体" w:cs="宋体"/>
                <w:szCs w:val="21"/>
              </w:rPr>
              <w:t>1、投标企业与授权委托人</w:t>
            </w:r>
            <w:r>
              <w:rPr>
                <w:rFonts w:hint="eastAsia" w:ascii="宋体" w:hAnsi="宋体" w:cs="宋体"/>
                <w:szCs w:val="21"/>
                <w:lang w:eastAsia="zh-CN"/>
              </w:rPr>
              <w:t>（</w:t>
            </w:r>
            <w:r>
              <w:rPr>
                <w:rFonts w:hint="eastAsia" w:ascii="宋体" w:hAnsi="宋体" w:cs="宋体"/>
                <w:szCs w:val="21"/>
                <w:lang w:val="en-US" w:eastAsia="zh-CN"/>
              </w:rPr>
              <w:t>如有</w:t>
            </w:r>
            <w:r>
              <w:rPr>
                <w:rFonts w:hint="eastAsia" w:ascii="宋体" w:hAnsi="宋体" w:cs="宋体"/>
                <w:szCs w:val="21"/>
                <w:lang w:eastAsia="zh-CN"/>
              </w:rPr>
              <w:t>）</w:t>
            </w:r>
            <w:r>
              <w:rPr>
                <w:rFonts w:hint="eastAsia" w:ascii="宋体" w:hAnsi="宋体" w:cs="宋体"/>
                <w:szCs w:val="21"/>
              </w:rPr>
              <w:t>、拟派总监理工程师签订的有效劳动合同书；</w:t>
            </w:r>
          </w:p>
          <w:p w14:paraId="564A84CB">
            <w:pPr>
              <w:textAlignment w:val="center"/>
              <w:rPr>
                <w:rFonts w:ascii="宋体" w:hAnsi="宋体" w:cs="宋体"/>
                <w:szCs w:val="21"/>
              </w:rPr>
            </w:pPr>
            <w:r>
              <w:rPr>
                <w:rFonts w:hint="eastAsia" w:ascii="宋体" w:hAnsi="宋体" w:cs="宋体"/>
                <w:szCs w:val="21"/>
              </w:rPr>
              <w:t>2、投标企业所在地社保机构出具（社保部门盖章）的由企业为授权委托人、拟派总监理工程师缴纳</w:t>
            </w:r>
            <w:r>
              <w:rPr>
                <w:rFonts w:hint="eastAsia" w:ascii="宋体" w:hAnsi="宋体" w:cs="宋体"/>
                <w:b/>
                <w:szCs w:val="21"/>
              </w:rPr>
              <w:t>缴纳的投标截止时间（不含当月）前三个月中任意一个月的</w:t>
            </w:r>
            <w:r>
              <w:rPr>
                <w:rFonts w:hint="eastAsia" w:ascii="宋体" w:hAnsi="宋体" w:cs="宋体"/>
                <w:szCs w:val="21"/>
              </w:rPr>
              <w:t>的养老保险缴费证明。</w:t>
            </w:r>
          </w:p>
        </w:tc>
      </w:tr>
      <w:tr w14:paraId="5AB5C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right w:val="single" w:color="auto" w:sz="4" w:space="0"/>
            </w:tcBorders>
            <w:noWrap/>
            <w:vAlign w:val="center"/>
          </w:tcPr>
          <w:p w14:paraId="34815FE2">
            <w:pPr>
              <w:textAlignment w:val="center"/>
              <w:rPr>
                <w:rFonts w:ascii="宋体" w:hAnsi="宋体" w:cs="宋体"/>
                <w:szCs w:val="21"/>
              </w:rPr>
            </w:pPr>
          </w:p>
        </w:tc>
        <w:tc>
          <w:tcPr>
            <w:tcW w:w="981" w:type="dxa"/>
            <w:vMerge w:val="continue"/>
            <w:tcBorders>
              <w:right w:val="single" w:color="auto" w:sz="4" w:space="0"/>
            </w:tcBorders>
            <w:noWrap/>
            <w:vAlign w:val="center"/>
          </w:tcPr>
          <w:p w14:paraId="3E6F47F4">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4535CC">
            <w:pPr>
              <w:textAlignment w:val="center"/>
              <w:rPr>
                <w:rFonts w:hint="eastAsia" w:ascii="宋体" w:hAnsi="宋体" w:eastAsia="宋体" w:cs="宋体"/>
                <w:kern w:val="2"/>
                <w:sz w:val="21"/>
                <w:szCs w:val="21"/>
                <w:lang w:val="en-US" w:eastAsia="zh-CN" w:bidi="ar-SA"/>
              </w:rPr>
            </w:pPr>
            <w:r>
              <w:rPr>
                <w:rFonts w:hint="eastAsia" w:ascii="宋体" w:hAnsi="宋体" w:cs="宋体"/>
                <w:szCs w:val="21"/>
              </w:rPr>
              <w:t>投标人诚信承诺书</w:t>
            </w:r>
          </w:p>
        </w:tc>
        <w:tc>
          <w:tcPr>
            <w:tcW w:w="57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6100D7">
            <w:pPr>
              <w:textAlignment w:val="center"/>
              <w:rPr>
                <w:rFonts w:hint="eastAsia" w:ascii="宋体" w:hAnsi="宋体" w:eastAsia="宋体" w:cs="宋体"/>
                <w:kern w:val="2"/>
                <w:sz w:val="21"/>
                <w:szCs w:val="21"/>
                <w:lang w:val="en-US" w:eastAsia="zh-CN" w:bidi="ar-SA"/>
              </w:rPr>
            </w:pPr>
            <w:r>
              <w:rPr>
                <w:rFonts w:hint="eastAsia" w:ascii="宋体" w:hAnsi="宋体" w:cs="宋体"/>
                <w:szCs w:val="21"/>
              </w:rPr>
              <w:t>格式详见</w:t>
            </w:r>
            <w:r>
              <w:rPr>
                <w:rFonts w:hint="eastAsia" w:ascii="宋体" w:hAnsi="宋体" w:cs="宋体"/>
                <w:szCs w:val="21"/>
                <w:lang w:val="en-US" w:eastAsia="zh-CN"/>
              </w:rPr>
              <w:t>招标文件</w:t>
            </w:r>
            <w:r>
              <w:rPr>
                <w:rFonts w:hint="eastAsia" w:ascii="宋体" w:hAnsi="宋体" w:cs="宋体"/>
                <w:szCs w:val="21"/>
              </w:rPr>
              <w:t>附件</w:t>
            </w:r>
          </w:p>
        </w:tc>
      </w:tr>
      <w:tr w14:paraId="54187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828" w:type="dxa"/>
            <w:vMerge w:val="continue"/>
            <w:tcBorders>
              <w:right w:val="single" w:color="auto" w:sz="4" w:space="0"/>
            </w:tcBorders>
            <w:noWrap/>
            <w:vAlign w:val="center"/>
          </w:tcPr>
          <w:p w14:paraId="10AB65FD">
            <w:pPr>
              <w:textAlignment w:val="center"/>
              <w:rPr>
                <w:rFonts w:ascii="宋体" w:hAnsi="宋体" w:cs="宋体"/>
                <w:szCs w:val="21"/>
              </w:rPr>
            </w:pPr>
          </w:p>
        </w:tc>
        <w:tc>
          <w:tcPr>
            <w:tcW w:w="981" w:type="dxa"/>
            <w:vMerge w:val="continue"/>
            <w:tcBorders>
              <w:right w:val="single" w:color="auto" w:sz="4" w:space="0"/>
            </w:tcBorders>
            <w:noWrap/>
            <w:vAlign w:val="center"/>
          </w:tcPr>
          <w:p w14:paraId="6EE0AF76">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2DA5A369">
            <w:pPr>
              <w:pStyle w:val="38"/>
              <w:rPr>
                <w:rFonts w:ascii="宋体" w:hAnsi="宋体" w:cs="宋体"/>
                <w:szCs w:val="21"/>
              </w:rPr>
            </w:pPr>
            <w:r>
              <w:rPr>
                <w:rFonts w:hint="eastAsia" w:ascii="宋体" w:hAnsi="宋体" w:cs="宋体"/>
                <w:szCs w:val="21"/>
              </w:rPr>
              <w:t>项目总监理工程师在监工程要求</w:t>
            </w:r>
          </w:p>
        </w:tc>
        <w:tc>
          <w:tcPr>
            <w:tcW w:w="5786" w:type="dxa"/>
            <w:tcBorders>
              <w:top w:val="single" w:color="auto" w:sz="4" w:space="0"/>
              <w:left w:val="single" w:color="auto" w:sz="4" w:space="0"/>
              <w:bottom w:val="single" w:color="auto" w:sz="4" w:space="0"/>
              <w:right w:val="single" w:color="auto" w:sz="4" w:space="0"/>
            </w:tcBorders>
            <w:noWrap/>
            <w:vAlign w:val="center"/>
          </w:tcPr>
          <w:p w14:paraId="0E8EA55D">
            <w:pPr>
              <w:spacing w:line="320" w:lineRule="exact"/>
              <w:textAlignment w:val="center"/>
              <w:rPr>
                <w:rFonts w:ascii="宋体" w:hAnsi="宋体" w:cs="宋体"/>
                <w:szCs w:val="21"/>
              </w:rPr>
            </w:pPr>
            <w:r>
              <w:rPr>
                <w:rFonts w:hint="eastAsia" w:ascii="宋体" w:hAnsi="宋体" w:cs="宋体"/>
                <w:szCs w:val="21"/>
              </w:rPr>
              <w:t>满足下列条件之一即可：</w:t>
            </w:r>
          </w:p>
          <w:p w14:paraId="0AC9065E">
            <w:pPr>
              <w:spacing w:line="320" w:lineRule="exact"/>
              <w:textAlignment w:val="center"/>
              <w:rPr>
                <w:rFonts w:hint="eastAsia" w:ascii="宋体" w:hAnsi="宋体" w:cs="宋体"/>
                <w:szCs w:val="21"/>
              </w:rPr>
            </w:pPr>
            <w:r>
              <w:rPr>
                <w:rFonts w:hint="eastAsia" w:ascii="宋体" w:hAnsi="宋体" w:cs="宋体"/>
                <w:szCs w:val="21"/>
              </w:rPr>
              <w:t>①拟派总监理工程师须无在监工程，提供无在监工程承诺(按照招标文件提供格式填写)。</w:t>
            </w:r>
          </w:p>
          <w:p w14:paraId="0DC3FEF8">
            <w:pPr>
              <w:pStyle w:val="38"/>
              <w:rPr>
                <w:rFonts w:ascii="宋体" w:hAnsi="宋体" w:cs="宋体"/>
                <w:szCs w:val="21"/>
              </w:rPr>
            </w:pPr>
            <w:r>
              <w:rPr>
                <w:rFonts w:hint="eastAsia" w:ascii="宋体" w:hAnsi="宋体" w:cs="宋体"/>
                <w:szCs w:val="21"/>
              </w:rPr>
              <w:t>②拟派总监理工程师有在监工程的（仅限南通市），按“江苏省住房和城乡建设厅《关于进一步加强全省监理人员从业管理的通知》（苏建建管【2014】100号）及其有关条款的补充通知”执行，且必须提供由原建设单位出具的“同意总监理工程师参加其他工程招投标活动”证明。</w:t>
            </w:r>
          </w:p>
        </w:tc>
      </w:tr>
      <w:tr w14:paraId="140905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restart"/>
            <w:tcBorders>
              <w:top w:val="single" w:color="auto" w:sz="4" w:space="0"/>
              <w:right w:val="single" w:color="auto" w:sz="4" w:space="0"/>
            </w:tcBorders>
            <w:noWrap/>
            <w:vAlign w:val="center"/>
          </w:tcPr>
          <w:p w14:paraId="2188A3AA">
            <w:pPr>
              <w:textAlignment w:val="center"/>
              <w:rPr>
                <w:rFonts w:ascii="宋体" w:hAnsi="宋体" w:cs="宋体"/>
                <w:szCs w:val="21"/>
              </w:rPr>
            </w:pPr>
            <w:r>
              <w:rPr>
                <w:rFonts w:hint="eastAsia" w:ascii="宋体" w:hAnsi="宋体" w:cs="宋体"/>
                <w:szCs w:val="21"/>
              </w:rPr>
              <w:t>2.2.2</w:t>
            </w:r>
          </w:p>
        </w:tc>
        <w:tc>
          <w:tcPr>
            <w:tcW w:w="981" w:type="dxa"/>
            <w:vMerge w:val="restart"/>
            <w:tcBorders>
              <w:top w:val="single" w:color="auto" w:sz="4" w:space="0"/>
              <w:right w:val="single" w:color="auto" w:sz="4" w:space="0"/>
            </w:tcBorders>
            <w:noWrap/>
            <w:vAlign w:val="center"/>
          </w:tcPr>
          <w:p w14:paraId="69D0570A">
            <w:pPr>
              <w:textAlignment w:val="center"/>
              <w:rPr>
                <w:rFonts w:ascii="宋体" w:hAnsi="宋体" w:cs="宋体"/>
                <w:szCs w:val="21"/>
              </w:rPr>
            </w:pPr>
            <w:r>
              <w:rPr>
                <w:rFonts w:hint="eastAsia" w:ascii="宋体" w:hAnsi="宋体" w:cs="宋体"/>
                <w:szCs w:val="21"/>
              </w:rPr>
              <w:t>形式评审标准</w:t>
            </w:r>
          </w:p>
        </w:tc>
        <w:tc>
          <w:tcPr>
            <w:tcW w:w="2410" w:type="dxa"/>
            <w:tcBorders>
              <w:top w:val="single" w:color="auto" w:sz="4" w:space="0"/>
              <w:left w:val="single" w:color="auto" w:sz="4" w:space="0"/>
              <w:bottom w:val="single" w:color="auto" w:sz="4" w:space="0"/>
              <w:right w:val="single" w:color="auto" w:sz="4" w:space="0"/>
            </w:tcBorders>
            <w:noWrap/>
            <w:vAlign w:val="center"/>
          </w:tcPr>
          <w:p w14:paraId="0B031E2A">
            <w:pPr>
              <w:textAlignment w:val="center"/>
              <w:rPr>
                <w:rFonts w:ascii="宋体" w:hAnsi="宋体" w:cs="宋体"/>
                <w:szCs w:val="21"/>
              </w:rPr>
            </w:pPr>
            <w:r>
              <w:rPr>
                <w:rFonts w:hint="eastAsia" w:ascii="宋体" w:hAnsi="宋体" w:cs="宋体"/>
                <w:szCs w:val="21"/>
              </w:rPr>
              <w:t>投标人名称</w:t>
            </w:r>
          </w:p>
        </w:tc>
        <w:tc>
          <w:tcPr>
            <w:tcW w:w="5786" w:type="dxa"/>
            <w:tcBorders>
              <w:top w:val="single" w:color="auto" w:sz="4" w:space="0"/>
              <w:left w:val="single" w:color="auto" w:sz="4" w:space="0"/>
              <w:bottom w:val="single" w:color="auto" w:sz="4" w:space="0"/>
              <w:right w:val="single" w:color="auto" w:sz="4" w:space="0"/>
            </w:tcBorders>
            <w:noWrap/>
            <w:vAlign w:val="center"/>
          </w:tcPr>
          <w:p w14:paraId="2B56F496">
            <w:pPr>
              <w:textAlignment w:val="center"/>
              <w:rPr>
                <w:rFonts w:ascii="宋体" w:hAnsi="宋体" w:cs="宋体"/>
                <w:szCs w:val="21"/>
              </w:rPr>
            </w:pPr>
            <w:r>
              <w:rPr>
                <w:rFonts w:hint="eastAsia" w:ascii="宋体" w:hAnsi="宋体" w:cs="宋体"/>
                <w:szCs w:val="21"/>
              </w:rPr>
              <w:t>投标人名称与营业执照、资质证书一致；不一致的，有效证明材料</w:t>
            </w:r>
          </w:p>
        </w:tc>
      </w:tr>
      <w:tr w14:paraId="09CD65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right w:val="single" w:color="auto" w:sz="4" w:space="0"/>
            </w:tcBorders>
            <w:noWrap/>
            <w:vAlign w:val="center"/>
          </w:tcPr>
          <w:p w14:paraId="3C03C8AC">
            <w:pPr>
              <w:textAlignment w:val="center"/>
              <w:rPr>
                <w:rFonts w:ascii="宋体" w:hAnsi="宋体" w:cs="宋体"/>
                <w:szCs w:val="21"/>
              </w:rPr>
            </w:pPr>
          </w:p>
        </w:tc>
        <w:tc>
          <w:tcPr>
            <w:tcW w:w="981" w:type="dxa"/>
            <w:vMerge w:val="continue"/>
            <w:tcBorders>
              <w:right w:val="single" w:color="auto" w:sz="4" w:space="0"/>
            </w:tcBorders>
            <w:noWrap/>
            <w:vAlign w:val="center"/>
          </w:tcPr>
          <w:p w14:paraId="6D4F84F9">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404CA83F">
            <w:pPr>
              <w:textAlignment w:val="center"/>
              <w:rPr>
                <w:rFonts w:ascii="宋体" w:hAnsi="宋体" w:cs="宋体"/>
                <w:szCs w:val="21"/>
              </w:rPr>
            </w:pPr>
            <w:r>
              <w:rPr>
                <w:rFonts w:hint="eastAsia" w:ascii="宋体" w:hAnsi="宋体" w:cs="宋体"/>
                <w:szCs w:val="21"/>
              </w:rPr>
              <w:t>投标函签字盖章</w:t>
            </w:r>
          </w:p>
        </w:tc>
        <w:tc>
          <w:tcPr>
            <w:tcW w:w="5786" w:type="dxa"/>
            <w:tcBorders>
              <w:top w:val="single" w:color="auto" w:sz="4" w:space="0"/>
              <w:left w:val="single" w:color="auto" w:sz="4" w:space="0"/>
              <w:bottom w:val="single" w:color="auto" w:sz="4" w:space="0"/>
              <w:right w:val="single" w:color="auto" w:sz="4" w:space="0"/>
            </w:tcBorders>
            <w:noWrap/>
            <w:vAlign w:val="center"/>
          </w:tcPr>
          <w:p w14:paraId="477F8C21">
            <w:pPr>
              <w:textAlignment w:val="center"/>
              <w:rPr>
                <w:rFonts w:ascii="宋体" w:hAnsi="宋体" w:cs="宋体"/>
                <w:szCs w:val="21"/>
              </w:rPr>
            </w:pPr>
            <w:r>
              <w:rPr>
                <w:rFonts w:hint="eastAsia" w:ascii="宋体" w:hAnsi="宋体" w:cs="宋体"/>
                <w:szCs w:val="21"/>
              </w:rPr>
              <w:t>加盖投标人公章和企业法定代表人（或企业法定代表人委托代理人）印章（或签字）。如投标函加盖企业法定代表人委托代理人印章（或签字）的，委托代理人有合法、有效的委托书（原件）</w:t>
            </w:r>
          </w:p>
        </w:tc>
      </w:tr>
      <w:tr w14:paraId="1285B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right w:val="single" w:color="auto" w:sz="4" w:space="0"/>
            </w:tcBorders>
            <w:noWrap/>
            <w:vAlign w:val="center"/>
          </w:tcPr>
          <w:p w14:paraId="47B02FD7">
            <w:pPr>
              <w:textAlignment w:val="center"/>
              <w:rPr>
                <w:rFonts w:ascii="宋体" w:hAnsi="宋体" w:cs="宋体"/>
                <w:szCs w:val="21"/>
              </w:rPr>
            </w:pPr>
          </w:p>
        </w:tc>
        <w:tc>
          <w:tcPr>
            <w:tcW w:w="981" w:type="dxa"/>
            <w:vMerge w:val="continue"/>
            <w:tcBorders>
              <w:right w:val="single" w:color="auto" w:sz="4" w:space="0"/>
            </w:tcBorders>
            <w:noWrap/>
            <w:vAlign w:val="center"/>
          </w:tcPr>
          <w:p w14:paraId="36F6388F">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7CDFB641">
            <w:pPr>
              <w:textAlignment w:val="center"/>
              <w:rPr>
                <w:rFonts w:ascii="宋体" w:hAnsi="宋体" w:cs="宋体"/>
                <w:szCs w:val="21"/>
              </w:rPr>
            </w:pPr>
            <w:r>
              <w:rPr>
                <w:rFonts w:hint="eastAsia" w:ascii="宋体" w:hAnsi="宋体" w:cs="宋体"/>
                <w:szCs w:val="21"/>
              </w:rPr>
              <w:t>投标文件的组成</w:t>
            </w:r>
          </w:p>
        </w:tc>
        <w:tc>
          <w:tcPr>
            <w:tcW w:w="5786" w:type="dxa"/>
            <w:tcBorders>
              <w:top w:val="single" w:color="auto" w:sz="4" w:space="0"/>
              <w:left w:val="single" w:color="auto" w:sz="4" w:space="0"/>
              <w:bottom w:val="single" w:color="auto" w:sz="4" w:space="0"/>
              <w:right w:val="single" w:color="auto" w:sz="4" w:space="0"/>
            </w:tcBorders>
            <w:noWrap/>
            <w:vAlign w:val="center"/>
          </w:tcPr>
          <w:p w14:paraId="4954EA03">
            <w:pPr>
              <w:textAlignment w:val="center"/>
              <w:rPr>
                <w:rFonts w:ascii="宋体" w:hAnsi="宋体" w:cs="宋体"/>
                <w:szCs w:val="21"/>
              </w:rPr>
            </w:pPr>
            <w:r>
              <w:rPr>
                <w:rFonts w:hint="eastAsia" w:ascii="宋体" w:hAnsi="宋体" w:cs="宋体"/>
                <w:szCs w:val="21"/>
              </w:rPr>
              <w:t>符合第二章“投标人须知”3.1.1的要求</w:t>
            </w:r>
          </w:p>
        </w:tc>
      </w:tr>
      <w:tr w14:paraId="16792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right w:val="single" w:color="auto" w:sz="4" w:space="0"/>
            </w:tcBorders>
            <w:noWrap/>
            <w:vAlign w:val="center"/>
          </w:tcPr>
          <w:p w14:paraId="1F56C250">
            <w:pPr>
              <w:textAlignment w:val="center"/>
              <w:rPr>
                <w:rFonts w:ascii="宋体" w:hAnsi="宋体" w:cs="宋体"/>
                <w:szCs w:val="21"/>
              </w:rPr>
            </w:pPr>
          </w:p>
        </w:tc>
        <w:tc>
          <w:tcPr>
            <w:tcW w:w="981" w:type="dxa"/>
            <w:vMerge w:val="continue"/>
            <w:tcBorders>
              <w:right w:val="single" w:color="auto" w:sz="4" w:space="0"/>
            </w:tcBorders>
            <w:noWrap/>
            <w:vAlign w:val="center"/>
          </w:tcPr>
          <w:p w14:paraId="2EFA67E4">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7F4FD60E">
            <w:pPr>
              <w:textAlignment w:val="center"/>
              <w:rPr>
                <w:rFonts w:ascii="宋体" w:hAnsi="宋体" w:cs="宋体"/>
                <w:szCs w:val="21"/>
              </w:rPr>
            </w:pPr>
            <w:r>
              <w:rPr>
                <w:rFonts w:hint="eastAsia" w:ascii="宋体" w:hAnsi="宋体" w:cs="宋体"/>
                <w:szCs w:val="21"/>
              </w:rPr>
              <w:t>投标文件及报价唯一</w:t>
            </w:r>
          </w:p>
        </w:tc>
        <w:tc>
          <w:tcPr>
            <w:tcW w:w="5786" w:type="dxa"/>
            <w:tcBorders>
              <w:top w:val="single" w:color="auto" w:sz="4" w:space="0"/>
              <w:left w:val="single" w:color="auto" w:sz="4" w:space="0"/>
              <w:bottom w:val="single" w:color="auto" w:sz="4" w:space="0"/>
              <w:right w:val="single" w:color="auto" w:sz="4" w:space="0"/>
            </w:tcBorders>
            <w:noWrap/>
            <w:vAlign w:val="center"/>
          </w:tcPr>
          <w:p w14:paraId="00DD7556">
            <w:pPr>
              <w:textAlignment w:val="center"/>
              <w:rPr>
                <w:rFonts w:ascii="宋体" w:hAnsi="宋体" w:cs="宋体"/>
                <w:szCs w:val="21"/>
              </w:rPr>
            </w:pPr>
            <w:r>
              <w:rPr>
                <w:rFonts w:hint="eastAsia" w:ascii="宋体" w:hAnsi="宋体" w:cs="宋体"/>
                <w:szCs w:val="21"/>
              </w:rPr>
              <w:t>只能有一个投标文件及有效报价</w:t>
            </w:r>
          </w:p>
        </w:tc>
      </w:tr>
      <w:tr w14:paraId="242702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restart"/>
            <w:tcBorders>
              <w:top w:val="single" w:color="auto" w:sz="4" w:space="0"/>
              <w:right w:val="single" w:color="auto" w:sz="4" w:space="0"/>
            </w:tcBorders>
            <w:noWrap/>
            <w:vAlign w:val="center"/>
          </w:tcPr>
          <w:p w14:paraId="4012BFE9">
            <w:pPr>
              <w:textAlignment w:val="center"/>
              <w:rPr>
                <w:rFonts w:ascii="宋体" w:hAnsi="宋体" w:cs="宋体"/>
                <w:szCs w:val="21"/>
              </w:rPr>
            </w:pPr>
            <w:r>
              <w:rPr>
                <w:rFonts w:hint="eastAsia" w:ascii="宋体" w:hAnsi="宋体" w:cs="宋体"/>
                <w:szCs w:val="21"/>
              </w:rPr>
              <w:t>2.2.3</w:t>
            </w:r>
          </w:p>
        </w:tc>
        <w:tc>
          <w:tcPr>
            <w:tcW w:w="981" w:type="dxa"/>
            <w:vMerge w:val="restart"/>
            <w:tcBorders>
              <w:top w:val="single" w:color="auto" w:sz="4" w:space="0"/>
              <w:right w:val="single" w:color="auto" w:sz="4" w:space="0"/>
            </w:tcBorders>
            <w:noWrap/>
            <w:vAlign w:val="center"/>
          </w:tcPr>
          <w:p w14:paraId="3961AA8F">
            <w:pPr>
              <w:textAlignment w:val="center"/>
              <w:rPr>
                <w:rFonts w:ascii="宋体" w:hAnsi="宋体" w:cs="宋体"/>
                <w:szCs w:val="21"/>
              </w:rPr>
            </w:pPr>
            <w:r>
              <w:rPr>
                <w:rFonts w:hint="eastAsia" w:ascii="宋体" w:hAnsi="宋体" w:cs="宋体"/>
                <w:szCs w:val="21"/>
              </w:rPr>
              <w:t>响应性</w:t>
            </w:r>
          </w:p>
          <w:p w14:paraId="3A7B9B49">
            <w:pPr>
              <w:textAlignment w:val="center"/>
              <w:rPr>
                <w:rFonts w:ascii="宋体" w:hAnsi="宋体" w:cs="宋体"/>
                <w:szCs w:val="21"/>
              </w:rPr>
            </w:pPr>
            <w:r>
              <w:rPr>
                <w:rFonts w:hint="eastAsia" w:ascii="宋体" w:hAnsi="宋体" w:cs="宋体"/>
                <w:szCs w:val="21"/>
              </w:rPr>
              <w:t>评审标准</w:t>
            </w:r>
          </w:p>
        </w:tc>
        <w:tc>
          <w:tcPr>
            <w:tcW w:w="2410" w:type="dxa"/>
            <w:tcBorders>
              <w:top w:val="single" w:color="auto" w:sz="4" w:space="0"/>
              <w:left w:val="single" w:color="auto" w:sz="4" w:space="0"/>
              <w:bottom w:val="single" w:color="auto" w:sz="4" w:space="0"/>
              <w:right w:val="single" w:color="auto" w:sz="4" w:space="0"/>
            </w:tcBorders>
            <w:noWrap/>
            <w:vAlign w:val="center"/>
          </w:tcPr>
          <w:p w14:paraId="3F8D3F95">
            <w:pPr>
              <w:textAlignment w:val="center"/>
              <w:rPr>
                <w:rFonts w:ascii="宋体" w:hAnsi="宋体" w:cs="宋体"/>
                <w:szCs w:val="21"/>
              </w:rPr>
            </w:pPr>
            <w:r>
              <w:rPr>
                <w:rFonts w:hint="eastAsia" w:ascii="宋体" w:hAnsi="宋体" w:cs="宋体"/>
                <w:szCs w:val="21"/>
              </w:rPr>
              <w:t>投标内容</w:t>
            </w:r>
          </w:p>
        </w:tc>
        <w:tc>
          <w:tcPr>
            <w:tcW w:w="5786" w:type="dxa"/>
            <w:tcBorders>
              <w:top w:val="single" w:color="auto" w:sz="4" w:space="0"/>
              <w:left w:val="single" w:color="auto" w:sz="4" w:space="0"/>
              <w:bottom w:val="single" w:color="auto" w:sz="4" w:space="0"/>
              <w:right w:val="single" w:color="auto" w:sz="4" w:space="0"/>
            </w:tcBorders>
            <w:noWrap/>
            <w:vAlign w:val="center"/>
          </w:tcPr>
          <w:p w14:paraId="0DE4EAD7">
            <w:pPr>
              <w:textAlignment w:val="center"/>
              <w:rPr>
                <w:rFonts w:ascii="宋体" w:hAnsi="宋体" w:cs="宋体"/>
                <w:szCs w:val="21"/>
              </w:rPr>
            </w:pPr>
            <w:r>
              <w:rPr>
                <w:rFonts w:hint="eastAsia" w:ascii="宋体" w:hAnsi="宋体" w:cs="宋体"/>
                <w:szCs w:val="21"/>
              </w:rPr>
              <w:t>符合第二章“投标人须知”第1.3.1项规定</w:t>
            </w:r>
          </w:p>
        </w:tc>
      </w:tr>
      <w:tr w14:paraId="36156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right w:val="single" w:color="auto" w:sz="4" w:space="0"/>
            </w:tcBorders>
            <w:noWrap/>
            <w:vAlign w:val="center"/>
          </w:tcPr>
          <w:p w14:paraId="2A4092AA">
            <w:pPr>
              <w:textAlignment w:val="center"/>
              <w:rPr>
                <w:rFonts w:ascii="宋体" w:hAnsi="宋体" w:cs="宋体"/>
                <w:szCs w:val="21"/>
              </w:rPr>
            </w:pPr>
          </w:p>
        </w:tc>
        <w:tc>
          <w:tcPr>
            <w:tcW w:w="981" w:type="dxa"/>
            <w:vMerge w:val="continue"/>
            <w:tcBorders>
              <w:right w:val="single" w:color="auto" w:sz="4" w:space="0"/>
            </w:tcBorders>
            <w:noWrap/>
            <w:vAlign w:val="center"/>
          </w:tcPr>
          <w:p w14:paraId="5A900251">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1F15C8D6">
            <w:pPr>
              <w:textAlignment w:val="center"/>
              <w:rPr>
                <w:rFonts w:ascii="宋体" w:hAnsi="宋体" w:cs="宋体"/>
                <w:szCs w:val="21"/>
              </w:rPr>
            </w:pPr>
            <w:r>
              <w:rPr>
                <w:rFonts w:hint="eastAsia" w:ascii="宋体" w:hAnsi="宋体" w:cs="宋体"/>
                <w:szCs w:val="21"/>
              </w:rPr>
              <w:t>监理服务期</w:t>
            </w:r>
          </w:p>
        </w:tc>
        <w:tc>
          <w:tcPr>
            <w:tcW w:w="5786" w:type="dxa"/>
            <w:tcBorders>
              <w:top w:val="single" w:color="auto" w:sz="4" w:space="0"/>
              <w:left w:val="single" w:color="auto" w:sz="4" w:space="0"/>
              <w:bottom w:val="single" w:color="auto" w:sz="4" w:space="0"/>
              <w:right w:val="single" w:color="auto" w:sz="4" w:space="0"/>
            </w:tcBorders>
            <w:noWrap/>
            <w:vAlign w:val="center"/>
          </w:tcPr>
          <w:p w14:paraId="236E18C5">
            <w:pPr>
              <w:textAlignment w:val="center"/>
              <w:rPr>
                <w:rFonts w:ascii="宋体" w:hAnsi="宋体" w:cs="宋体"/>
                <w:szCs w:val="21"/>
              </w:rPr>
            </w:pPr>
            <w:r>
              <w:rPr>
                <w:rFonts w:hint="eastAsia" w:ascii="宋体" w:hAnsi="宋体" w:cs="宋体"/>
                <w:szCs w:val="21"/>
              </w:rPr>
              <w:t>符合第二章“投标人须知”第1.3.2项规定</w:t>
            </w:r>
          </w:p>
        </w:tc>
      </w:tr>
      <w:tr w14:paraId="1BD8F3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right w:val="single" w:color="auto" w:sz="4" w:space="0"/>
            </w:tcBorders>
            <w:noWrap/>
            <w:vAlign w:val="center"/>
          </w:tcPr>
          <w:p w14:paraId="06E38E99">
            <w:pPr>
              <w:textAlignment w:val="center"/>
              <w:rPr>
                <w:rFonts w:ascii="宋体" w:hAnsi="宋体" w:cs="宋体"/>
                <w:szCs w:val="21"/>
              </w:rPr>
            </w:pPr>
          </w:p>
        </w:tc>
        <w:tc>
          <w:tcPr>
            <w:tcW w:w="981" w:type="dxa"/>
            <w:vMerge w:val="continue"/>
            <w:tcBorders>
              <w:right w:val="single" w:color="auto" w:sz="4" w:space="0"/>
            </w:tcBorders>
            <w:noWrap/>
            <w:vAlign w:val="center"/>
          </w:tcPr>
          <w:p w14:paraId="08EF042F">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11D7F626">
            <w:pPr>
              <w:textAlignment w:val="center"/>
              <w:rPr>
                <w:rFonts w:ascii="宋体" w:hAnsi="宋体" w:cs="宋体"/>
                <w:szCs w:val="21"/>
              </w:rPr>
            </w:pPr>
            <w:r>
              <w:rPr>
                <w:rFonts w:hint="eastAsia" w:ascii="宋体" w:hAnsi="宋体" w:cs="宋体"/>
                <w:szCs w:val="21"/>
              </w:rPr>
              <w:t>工程质量</w:t>
            </w:r>
          </w:p>
        </w:tc>
        <w:tc>
          <w:tcPr>
            <w:tcW w:w="5786" w:type="dxa"/>
            <w:tcBorders>
              <w:top w:val="single" w:color="auto" w:sz="4" w:space="0"/>
              <w:left w:val="single" w:color="auto" w:sz="4" w:space="0"/>
              <w:bottom w:val="single" w:color="auto" w:sz="4" w:space="0"/>
              <w:right w:val="single" w:color="auto" w:sz="4" w:space="0"/>
            </w:tcBorders>
            <w:noWrap/>
            <w:vAlign w:val="center"/>
          </w:tcPr>
          <w:p w14:paraId="7C18E1CD">
            <w:pPr>
              <w:textAlignment w:val="center"/>
              <w:rPr>
                <w:rFonts w:ascii="宋体" w:hAnsi="宋体" w:cs="宋体"/>
                <w:szCs w:val="21"/>
              </w:rPr>
            </w:pPr>
            <w:r>
              <w:rPr>
                <w:rFonts w:hint="eastAsia" w:ascii="宋体" w:hAnsi="宋体" w:cs="宋体"/>
                <w:szCs w:val="21"/>
              </w:rPr>
              <w:t>符合第二章“投标人须知”第1.3.3项规定</w:t>
            </w:r>
          </w:p>
        </w:tc>
      </w:tr>
      <w:tr w14:paraId="1BB91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right w:val="single" w:color="auto" w:sz="4" w:space="0"/>
            </w:tcBorders>
            <w:noWrap/>
            <w:vAlign w:val="center"/>
          </w:tcPr>
          <w:p w14:paraId="4F47082D">
            <w:pPr>
              <w:textAlignment w:val="center"/>
              <w:rPr>
                <w:rFonts w:ascii="宋体" w:hAnsi="宋体" w:cs="宋体"/>
                <w:szCs w:val="21"/>
              </w:rPr>
            </w:pPr>
          </w:p>
        </w:tc>
        <w:tc>
          <w:tcPr>
            <w:tcW w:w="981" w:type="dxa"/>
            <w:vMerge w:val="continue"/>
            <w:tcBorders>
              <w:right w:val="single" w:color="auto" w:sz="4" w:space="0"/>
            </w:tcBorders>
            <w:noWrap/>
            <w:vAlign w:val="center"/>
          </w:tcPr>
          <w:p w14:paraId="4C8459BD">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1B8A96F7">
            <w:pPr>
              <w:textAlignment w:val="center"/>
              <w:rPr>
                <w:rFonts w:ascii="宋体" w:hAnsi="宋体" w:cs="宋体"/>
                <w:szCs w:val="21"/>
              </w:rPr>
            </w:pPr>
            <w:r>
              <w:rPr>
                <w:rFonts w:hint="eastAsia" w:ascii="宋体" w:hAnsi="宋体" w:cs="宋体"/>
                <w:szCs w:val="21"/>
              </w:rPr>
              <w:t>投标保证金</w:t>
            </w:r>
          </w:p>
        </w:tc>
        <w:tc>
          <w:tcPr>
            <w:tcW w:w="5786" w:type="dxa"/>
            <w:tcBorders>
              <w:top w:val="single" w:color="auto" w:sz="4" w:space="0"/>
              <w:left w:val="single" w:color="auto" w:sz="4" w:space="0"/>
              <w:bottom w:val="single" w:color="auto" w:sz="4" w:space="0"/>
              <w:right w:val="single" w:color="auto" w:sz="4" w:space="0"/>
            </w:tcBorders>
            <w:noWrap/>
            <w:vAlign w:val="center"/>
          </w:tcPr>
          <w:p w14:paraId="2B7E1C44">
            <w:pPr>
              <w:textAlignment w:val="center"/>
              <w:rPr>
                <w:rFonts w:ascii="宋体" w:hAnsi="宋体" w:cs="宋体"/>
                <w:szCs w:val="21"/>
              </w:rPr>
            </w:pPr>
            <w:r>
              <w:rPr>
                <w:rFonts w:hint="eastAsia" w:ascii="宋体" w:hAnsi="宋体" w:cs="宋体"/>
                <w:szCs w:val="21"/>
              </w:rPr>
              <w:t>符合第二章“投标人须知”3.4.1项、3.4.2项规定</w:t>
            </w:r>
          </w:p>
        </w:tc>
      </w:tr>
      <w:tr w14:paraId="23477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right w:val="single" w:color="auto" w:sz="4" w:space="0"/>
            </w:tcBorders>
            <w:noWrap/>
            <w:vAlign w:val="center"/>
          </w:tcPr>
          <w:p w14:paraId="1F7E2F95">
            <w:pPr>
              <w:textAlignment w:val="center"/>
              <w:rPr>
                <w:rFonts w:ascii="宋体" w:hAnsi="宋体" w:cs="宋体"/>
                <w:szCs w:val="21"/>
              </w:rPr>
            </w:pPr>
          </w:p>
        </w:tc>
        <w:tc>
          <w:tcPr>
            <w:tcW w:w="981" w:type="dxa"/>
            <w:vMerge w:val="continue"/>
            <w:tcBorders>
              <w:right w:val="single" w:color="auto" w:sz="4" w:space="0"/>
            </w:tcBorders>
            <w:noWrap/>
            <w:vAlign w:val="center"/>
          </w:tcPr>
          <w:p w14:paraId="206C26CF">
            <w:pPr>
              <w:textAlignment w:val="center"/>
              <w:rPr>
                <w:rFonts w:ascii="宋体" w:hAnsi="宋体" w:cs="宋体"/>
                <w:szCs w:val="21"/>
              </w:rPr>
            </w:pPr>
          </w:p>
        </w:tc>
        <w:tc>
          <w:tcPr>
            <w:tcW w:w="2410" w:type="dxa"/>
            <w:tcBorders>
              <w:top w:val="single" w:color="auto" w:sz="4" w:space="0"/>
              <w:left w:val="single" w:color="auto" w:sz="4" w:space="0"/>
              <w:right w:val="single" w:color="auto" w:sz="4" w:space="0"/>
            </w:tcBorders>
            <w:noWrap/>
            <w:vAlign w:val="center"/>
          </w:tcPr>
          <w:p w14:paraId="1B1045C5">
            <w:pPr>
              <w:textAlignment w:val="center"/>
              <w:rPr>
                <w:rFonts w:ascii="宋体" w:hAnsi="宋体" w:cs="宋体"/>
                <w:szCs w:val="21"/>
              </w:rPr>
            </w:pPr>
            <w:r>
              <w:rPr>
                <w:rFonts w:hint="eastAsia" w:ascii="宋体" w:hAnsi="宋体" w:cs="宋体"/>
                <w:szCs w:val="21"/>
              </w:rPr>
              <w:t>投标报价</w:t>
            </w:r>
          </w:p>
        </w:tc>
        <w:tc>
          <w:tcPr>
            <w:tcW w:w="5786" w:type="dxa"/>
            <w:tcBorders>
              <w:top w:val="single" w:color="auto" w:sz="4" w:space="0"/>
              <w:left w:val="single" w:color="auto" w:sz="4" w:space="0"/>
              <w:right w:val="single" w:color="auto" w:sz="4" w:space="0"/>
            </w:tcBorders>
            <w:noWrap/>
            <w:vAlign w:val="center"/>
          </w:tcPr>
          <w:p w14:paraId="2A5983D9">
            <w:pPr>
              <w:textAlignment w:val="center"/>
              <w:rPr>
                <w:rFonts w:ascii="宋体" w:hAnsi="宋体" w:cs="宋体"/>
                <w:szCs w:val="21"/>
              </w:rPr>
            </w:pPr>
            <w:r>
              <w:rPr>
                <w:rFonts w:hint="eastAsia" w:ascii="宋体" w:hAnsi="宋体" w:cs="宋体"/>
                <w:szCs w:val="21"/>
              </w:rPr>
              <w:t>无下列情形之一：（1）低于成本；（2）高于</w:t>
            </w:r>
            <w:r>
              <w:rPr>
                <w:rFonts w:hint="eastAsia" w:ascii="宋体" w:hAnsi="宋体" w:cs="宋体"/>
                <w:szCs w:val="21"/>
                <w:lang w:val="en-US" w:eastAsia="zh-CN"/>
              </w:rPr>
              <w:t>或等于</w:t>
            </w:r>
            <w:r>
              <w:rPr>
                <w:rFonts w:hint="eastAsia" w:ascii="宋体" w:hAnsi="宋体" w:cs="宋体"/>
                <w:szCs w:val="21"/>
              </w:rPr>
              <w:t>招标文件设定的最高投标限价；（</w:t>
            </w:r>
            <w:r>
              <w:rPr>
                <w:rFonts w:hint="eastAsia" w:ascii="宋体" w:hAnsi="宋体" w:cs="宋体"/>
                <w:szCs w:val="21"/>
                <w:lang w:val="en-US" w:eastAsia="zh-CN"/>
              </w:rPr>
              <w:t>3</w:t>
            </w:r>
            <w:r>
              <w:rPr>
                <w:rFonts w:hint="eastAsia" w:ascii="宋体" w:hAnsi="宋体" w:cs="宋体"/>
                <w:szCs w:val="21"/>
              </w:rPr>
              <w:t>）不符合第二章“投标人须知”第3.2项的规定</w:t>
            </w:r>
          </w:p>
        </w:tc>
      </w:tr>
      <w:tr w14:paraId="3F9A8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bottom w:val="single" w:color="auto" w:sz="4" w:space="0"/>
              <w:right w:val="single" w:color="auto" w:sz="4" w:space="0"/>
            </w:tcBorders>
            <w:noWrap/>
            <w:vAlign w:val="center"/>
          </w:tcPr>
          <w:p w14:paraId="78E1B7BF">
            <w:pPr>
              <w:textAlignment w:val="center"/>
              <w:rPr>
                <w:rFonts w:ascii="宋体" w:hAnsi="宋体" w:cs="宋体"/>
                <w:szCs w:val="21"/>
              </w:rPr>
            </w:pPr>
          </w:p>
        </w:tc>
        <w:tc>
          <w:tcPr>
            <w:tcW w:w="981" w:type="dxa"/>
            <w:tcBorders>
              <w:top w:val="single" w:color="auto" w:sz="4" w:space="0"/>
              <w:bottom w:val="single" w:color="auto" w:sz="4" w:space="0"/>
              <w:right w:val="single" w:color="auto" w:sz="4" w:space="0"/>
            </w:tcBorders>
            <w:noWrap/>
            <w:vAlign w:val="center"/>
          </w:tcPr>
          <w:p w14:paraId="4FCCD82F">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6510D1D1">
            <w:pPr>
              <w:textAlignment w:val="center"/>
              <w:rPr>
                <w:rFonts w:ascii="宋体" w:hAnsi="宋体" w:cs="宋体"/>
                <w:szCs w:val="21"/>
              </w:rPr>
            </w:pPr>
            <w:r>
              <w:rPr>
                <w:rFonts w:hint="eastAsia" w:ascii="宋体" w:hAnsi="宋体" w:cs="宋体"/>
                <w:szCs w:val="21"/>
              </w:rPr>
              <w:t>其他</w:t>
            </w:r>
          </w:p>
        </w:tc>
        <w:tc>
          <w:tcPr>
            <w:tcW w:w="5786" w:type="dxa"/>
            <w:tcBorders>
              <w:top w:val="single" w:color="auto" w:sz="4" w:space="0"/>
              <w:left w:val="single" w:color="auto" w:sz="4" w:space="0"/>
              <w:bottom w:val="single" w:color="auto" w:sz="4" w:space="0"/>
              <w:right w:val="single" w:color="auto" w:sz="4" w:space="0"/>
            </w:tcBorders>
            <w:noWrap/>
            <w:vAlign w:val="center"/>
          </w:tcPr>
          <w:p w14:paraId="2BAD598E">
            <w:pPr>
              <w:textAlignment w:val="center"/>
              <w:rPr>
                <w:rFonts w:ascii="宋体" w:hAnsi="宋体" w:cs="宋体"/>
                <w:szCs w:val="21"/>
              </w:rPr>
            </w:pPr>
            <w:r>
              <w:rPr>
                <w:rFonts w:hint="eastAsia" w:ascii="宋体" w:hAnsi="宋体" w:cs="宋体"/>
                <w:szCs w:val="21"/>
              </w:rPr>
              <w:t>无第三章“评标办法”第3.2.2条所列情形</w:t>
            </w:r>
          </w:p>
        </w:tc>
      </w:tr>
      <w:tr w14:paraId="2BB512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005" w:type="dxa"/>
            <w:gridSpan w:val="4"/>
            <w:tcBorders>
              <w:bottom w:val="single" w:color="auto" w:sz="4" w:space="0"/>
              <w:right w:val="single" w:color="auto" w:sz="4" w:space="0"/>
            </w:tcBorders>
            <w:noWrap/>
            <w:vAlign w:val="center"/>
          </w:tcPr>
          <w:p w14:paraId="54CD6E56">
            <w:pPr>
              <w:textAlignment w:val="center"/>
              <w:rPr>
                <w:rFonts w:ascii="宋体" w:hAnsi="宋体" w:cs="宋体"/>
                <w:szCs w:val="21"/>
              </w:rPr>
            </w:pPr>
            <w:r>
              <w:rPr>
                <w:rFonts w:hint="eastAsia" w:ascii="宋体" w:hAnsi="宋体" w:cs="宋体"/>
                <w:szCs w:val="21"/>
              </w:rPr>
              <w:t>2.3详细评审</w:t>
            </w:r>
          </w:p>
        </w:tc>
      </w:tr>
      <w:tr w14:paraId="7CB262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09" w:type="dxa"/>
            <w:gridSpan w:val="2"/>
            <w:tcBorders>
              <w:bottom w:val="single" w:color="auto" w:sz="4" w:space="0"/>
              <w:right w:val="single" w:color="auto" w:sz="4" w:space="0"/>
            </w:tcBorders>
            <w:noWrap/>
            <w:vAlign w:val="center"/>
          </w:tcPr>
          <w:p w14:paraId="1C6B7BD5">
            <w:pPr>
              <w:textAlignment w:val="center"/>
              <w:rPr>
                <w:rFonts w:ascii="宋体" w:hAnsi="宋体" w:cs="宋体"/>
                <w:szCs w:val="21"/>
              </w:rPr>
            </w:pPr>
            <w:r>
              <w:rPr>
                <w:rFonts w:hint="eastAsia" w:ascii="宋体" w:hAnsi="宋体" w:cs="宋体"/>
                <w:szCs w:val="21"/>
              </w:rPr>
              <w:t>条款号</w:t>
            </w:r>
          </w:p>
        </w:tc>
        <w:tc>
          <w:tcPr>
            <w:tcW w:w="2410" w:type="dxa"/>
            <w:tcBorders>
              <w:top w:val="single" w:color="auto" w:sz="4" w:space="0"/>
              <w:left w:val="single" w:color="auto" w:sz="4" w:space="0"/>
              <w:bottom w:val="single" w:color="auto" w:sz="4" w:space="0"/>
              <w:right w:val="single" w:color="auto" w:sz="4" w:space="0"/>
            </w:tcBorders>
            <w:noWrap/>
            <w:vAlign w:val="center"/>
          </w:tcPr>
          <w:p w14:paraId="6DC037F6">
            <w:pPr>
              <w:textAlignment w:val="center"/>
              <w:rPr>
                <w:rFonts w:ascii="宋体" w:hAnsi="宋体" w:cs="宋体"/>
                <w:szCs w:val="21"/>
              </w:rPr>
            </w:pPr>
            <w:r>
              <w:rPr>
                <w:rFonts w:hint="eastAsia" w:ascii="宋体" w:hAnsi="宋体" w:cs="宋体"/>
                <w:szCs w:val="21"/>
              </w:rPr>
              <w:t>条款内容</w:t>
            </w:r>
          </w:p>
        </w:tc>
        <w:tc>
          <w:tcPr>
            <w:tcW w:w="5786" w:type="dxa"/>
            <w:tcBorders>
              <w:top w:val="single" w:color="auto" w:sz="4" w:space="0"/>
              <w:left w:val="single" w:color="auto" w:sz="4" w:space="0"/>
              <w:bottom w:val="single" w:color="auto" w:sz="4" w:space="0"/>
              <w:right w:val="single" w:color="auto" w:sz="4" w:space="0"/>
            </w:tcBorders>
            <w:noWrap/>
            <w:vAlign w:val="center"/>
          </w:tcPr>
          <w:p w14:paraId="799BEE49">
            <w:pPr>
              <w:textAlignment w:val="center"/>
              <w:rPr>
                <w:rFonts w:ascii="宋体" w:hAnsi="宋体" w:cs="宋体"/>
                <w:szCs w:val="21"/>
              </w:rPr>
            </w:pPr>
            <w:r>
              <w:rPr>
                <w:rFonts w:hint="eastAsia" w:ascii="宋体" w:hAnsi="宋体" w:cs="宋体"/>
                <w:szCs w:val="21"/>
              </w:rPr>
              <w:t>编列内容</w:t>
            </w:r>
          </w:p>
        </w:tc>
      </w:tr>
      <w:tr w14:paraId="50219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09" w:type="dxa"/>
            <w:gridSpan w:val="2"/>
            <w:tcBorders>
              <w:bottom w:val="single" w:color="auto" w:sz="4" w:space="0"/>
              <w:right w:val="single" w:color="auto" w:sz="4" w:space="0"/>
            </w:tcBorders>
            <w:noWrap/>
            <w:vAlign w:val="center"/>
          </w:tcPr>
          <w:p w14:paraId="2A195FFE">
            <w:pPr>
              <w:textAlignment w:val="center"/>
              <w:rPr>
                <w:rFonts w:ascii="宋体" w:hAnsi="宋体" w:cs="宋体"/>
                <w:szCs w:val="21"/>
              </w:rPr>
            </w:pPr>
            <w:r>
              <w:rPr>
                <w:rFonts w:hint="eastAsia" w:ascii="宋体" w:hAnsi="宋体" w:cs="宋体"/>
                <w:szCs w:val="21"/>
              </w:rPr>
              <w:t>2.3.1</w:t>
            </w:r>
          </w:p>
        </w:tc>
        <w:tc>
          <w:tcPr>
            <w:tcW w:w="2410" w:type="dxa"/>
            <w:tcBorders>
              <w:top w:val="single" w:color="auto" w:sz="4" w:space="0"/>
              <w:left w:val="single" w:color="auto" w:sz="4" w:space="0"/>
              <w:bottom w:val="single" w:color="auto" w:sz="4" w:space="0"/>
              <w:right w:val="single" w:color="auto" w:sz="4" w:space="0"/>
            </w:tcBorders>
            <w:noWrap/>
            <w:vAlign w:val="center"/>
          </w:tcPr>
          <w:p w14:paraId="50309CBE">
            <w:pPr>
              <w:textAlignment w:val="center"/>
              <w:rPr>
                <w:rFonts w:ascii="宋体" w:hAnsi="宋体" w:cs="宋体"/>
                <w:szCs w:val="21"/>
              </w:rPr>
            </w:pPr>
            <w:r>
              <w:rPr>
                <w:rFonts w:hint="eastAsia" w:ascii="宋体" w:hAnsi="宋体" w:cs="宋体"/>
                <w:szCs w:val="21"/>
              </w:rPr>
              <w:t>分值构成</w:t>
            </w:r>
          </w:p>
          <w:p w14:paraId="104D1BA0">
            <w:pPr>
              <w:textAlignment w:val="center"/>
              <w:rPr>
                <w:rFonts w:ascii="宋体" w:hAnsi="宋体" w:cs="宋体"/>
                <w:szCs w:val="21"/>
              </w:rPr>
            </w:pPr>
            <w:r>
              <w:rPr>
                <w:rFonts w:hint="eastAsia" w:ascii="宋体" w:hAnsi="宋体" w:cs="宋体"/>
                <w:szCs w:val="21"/>
              </w:rPr>
              <w:t>(总分100分)</w:t>
            </w:r>
          </w:p>
        </w:tc>
        <w:tc>
          <w:tcPr>
            <w:tcW w:w="5786" w:type="dxa"/>
            <w:tcBorders>
              <w:top w:val="single" w:color="auto" w:sz="4" w:space="0"/>
              <w:left w:val="single" w:color="auto" w:sz="4" w:space="0"/>
              <w:bottom w:val="single" w:color="auto" w:sz="4" w:space="0"/>
              <w:right w:val="single" w:color="auto" w:sz="4" w:space="0"/>
            </w:tcBorders>
            <w:noWrap/>
            <w:vAlign w:val="center"/>
          </w:tcPr>
          <w:p w14:paraId="755B6AE2">
            <w:pPr>
              <w:textAlignment w:val="center"/>
              <w:rPr>
                <w:rFonts w:ascii="宋体" w:hAnsi="宋体" w:cs="宋体"/>
                <w:szCs w:val="21"/>
              </w:rPr>
            </w:pPr>
            <w:r>
              <w:rPr>
                <w:rFonts w:hint="eastAsia" w:ascii="宋体" w:hAnsi="宋体" w:cs="宋体"/>
                <w:szCs w:val="21"/>
              </w:rPr>
              <w:t>☑以综合标、投标报价为评审因素</w:t>
            </w:r>
          </w:p>
          <w:p w14:paraId="7BB89042">
            <w:pPr>
              <w:textAlignment w:val="center"/>
              <w:rPr>
                <w:rFonts w:ascii="宋体" w:hAnsi="宋体" w:cs="宋体"/>
                <w:szCs w:val="21"/>
              </w:rPr>
            </w:pPr>
            <w:r>
              <w:rPr>
                <w:rFonts w:hint="eastAsia" w:ascii="宋体" w:hAnsi="宋体" w:cs="宋体"/>
                <w:szCs w:val="21"/>
              </w:rPr>
              <w:t>综合标：</w:t>
            </w:r>
            <w:r>
              <w:rPr>
                <w:rFonts w:hint="eastAsia" w:ascii="宋体" w:hAnsi="宋体" w:cs="宋体"/>
                <w:szCs w:val="21"/>
                <w:lang w:val="en-US" w:eastAsia="zh-CN"/>
              </w:rPr>
              <w:t>20</w:t>
            </w:r>
            <w:r>
              <w:rPr>
                <w:rFonts w:hint="eastAsia" w:ascii="宋体" w:hAnsi="宋体" w:cs="宋体"/>
                <w:szCs w:val="21"/>
              </w:rPr>
              <w:t>分</w:t>
            </w:r>
          </w:p>
          <w:p w14:paraId="529CB701">
            <w:pPr>
              <w:textAlignment w:val="center"/>
              <w:rPr>
                <w:rFonts w:ascii="宋体" w:hAnsi="宋体" w:cs="宋体"/>
                <w:szCs w:val="21"/>
              </w:rPr>
            </w:pPr>
            <w:r>
              <w:rPr>
                <w:rFonts w:hint="eastAsia" w:ascii="宋体" w:hAnsi="宋体" w:cs="宋体"/>
                <w:szCs w:val="21"/>
              </w:rPr>
              <w:t>投标报价：80分</w:t>
            </w:r>
          </w:p>
        </w:tc>
      </w:tr>
      <w:tr w14:paraId="168028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09" w:type="dxa"/>
            <w:gridSpan w:val="2"/>
            <w:vMerge w:val="restart"/>
            <w:tcBorders>
              <w:right w:val="single" w:color="auto" w:sz="4" w:space="0"/>
            </w:tcBorders>
            <w:noWrap/>
            <w:vAlign w:val="center"/>
          </w:tcPr>
          <w:p w14:paraId="5F046592">
            <w:pPr>
              <w:textAlignment w:val="center"/>
              <w:rPr>
                <w:rFonts w:ascii="宋体" w:hAnsi="宋体" w:cs="宋体"/>
                <w:szCs w:val="21"/>
              </w:rPr>
            </w:pPr>
            <w:r>
              <w:rPr>
                <w:rFonts w:hint="eastAsia" w:ascii="宋体" w:hAnsi="宋体" w:cs="宋体"/>
                <w:szCs w:val="21"/>
              </w:rPr>
              <w:t>2.3.2</w:t>
            </w:r>
          </w:p>
          <w:p w14:paraId="39B299A5">
            <w:pPr>
              <w:jc w:val="cente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50AD7A5C">
            <w:pPr>
              <w:textAlignment w:val="center"/>
              <w:rPr>
                <w:rFonts w:ascii="宋体" w:hAnsi="宋体" w:cs="宋体"/>
                <w:szCs w:val="21"/>
              </w:rPr>
            </w:pPr>
            <w:r>
              <w:rPr>
                <w:rFonts w:hint="eastAsia" w:ascii="宋体" w:hAnsi="宋体" w:cs="宋体"/>
                <w:szCs w:val="21"/>
              </w:rPr>
              <w:t>1、拟派项目总监理工程师资信（满分</w:t>
            </w:r>
            <w:r>
              <w:rPr>
                <w:rFonts w:hint="eastAsia" w:ascii="宋体" w:hAnsi="宋体" w:cs="宋体"/>
                <w:szCs w:val="21"/>
                <w:lang w:val="en-US" w:eastAsia="zh-CN"/>
              </w:rPr>
              <w:t>4</w:t>
            </w:r>
            <w:r>
              <w:rPr>
                <w:rFonts w:hint="eastAsia" w:ascii="宋体" w:hAnsi="宋体" w:cs="宋体"/>
                <w:szCs w:val="21"/>
              </w:rPr>
              <w:t>分）</w:t>
            </w:r>
          </w:p>
        </w:tc>
        <w:tc>
          <w:tcPr>
            <w:tcW w:w="5786" w:type="dxa"/>
            <w:tcBorders>
              <w:top w:val="single" w:color="auto" w:sz="4" w:space="0"/>
              <w:left w:val="single" w:color="auto" w:sz="4" w:space="0"/>
              <w:bottom w:val="single" w:color="auto" w:sz="4" w:space="0"/>
              <w:right w:val="single" w:color="auto" w:sz="4" w:space="0"/>
            </w:tcBorders>
            <w:noWrap/>
            <w:vAlign w:val="center"/>
          </w:tcPr>
          <w:p w14:paraId="601CA291">
            <w:pPr>
              <w:wordWrap w:val="0"/>
              <w:overflowPunct w:val="0"/>
              <w:adjustRightInd w:val="0"/>
              <w:snapToGrid w:val="0"/>
              <w:spacing w:line="360" w:lineRule="exact"/>
              <w:jc w:val="left"/>
              <w:rPr>
                <w:rFonts w:ascii="宋体" w:hAnsi="宋体" w:cs="宋体"/>
                <w:szCs w:val="21"/>
              </w:rPr>
            </w:pPr>
            <w:r>
              <w:rPr>
                <w:rFonts w:hint="eastAsia" w:ascii="宋体" w:hAnsi="宋体" w:cs="宋体"/>
                <w:bCs/>
                <w:color w:val="0C0C0C"/>
                <w:spacing w:val="4"/>
                <w:szCs w:val="21"/>
              </w:rPr>
              <w:t>（1）拟派项目总监理工程师取得国家注册监理工程师资格执业年限满5年，得</w:t>
            </w:r>
            <w:r>
              <w:rPr>
                <w:rFonts w:hint="eastAsia" w:ascii="宋体" w:hAnsi="宋体" w:cs="宋体"/>
                <w:bCs/>
                <w:color w:val="0C0C0C"/>
                <w:spacing w:val="4"/>
                <w:szCs w:val="21"/>
                <w:lang w:val="en-US" w:eastAsia="zh-CN"/>
              </w:rPr>
              <w:t>4</w:t>
            </w:r>
            <w:r>
              <w:rPr>
                <w:rFonts w:hint="eastAsia" w:ascii="宋体" w:hAnsi="宋体" w:cs="宋体"/>
                <w:bCs/>
                <w:color w:val="0C0C0C"/>
                <w:spacing w:val="4"/>
                <w:szCs w:val="21"/>
              </w:rPr>
              <w:t>分。（执业资格证书以发证或批准日期为开始日期，以投标截止日为截止日期计算）</w:t>
            </w:r>
          </w:p>
        </w:tc>
      </w:tr>
      <w:tr w14:paraId="7F3C23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15" w:hRule="atLeast"/>
          <w:jc w:val="center"/>
        </w:trPr>
        <w:tc>
          <w:tcPr>
            <w:tcW w:w="1809" w:type="dxa"/>
            <w:gridSpan w:val="2"/>
            <w:vMerge w:val="continue"/>
            <w:tcBorders>
              <w:right w:val="single" w:color="auto" w:sz="4" w:space="0"/>
            </w:tcBorders>
            <w:noWrap/>
            <w:vAlign w:val="center"/>
          </w:tcPr>
          <w:p w14:paraId="220FAD68">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258DDA35">
            <w:pPr>
              <w:textAlignment w:val="center"/>
              <w:rPr>
                <w:rFonts w:ascii="宋体" w:hAnsi="宋体" w:cs="宋体"/>
                <w:szCs w:val="21"/>
              </w:rPr>
            </w:pPr>
            <w:r>
              <w:rPr>
                <w:rFonts w:hint="eastAsia" w:ascii="宋体" w:hAnsi="宋体" w:cs="宋体"/>
                <w:szCs w:val="21"/>
              </w:rPr>
              <w:t xml:space="preserve">2、项目监理机构（满分 </w:t>
            </w:r>
            <w:r>
              <w:rPr>
                <w:rFonts w:hint="eastAsia" w:ascii="宋体" w:hAnsi="宋体" w:cs="宋体"/>
                <w:szCs w:val="21"/>
                <w:lang w:val="en-US" w:eastAsia="zh-CN"/>
              </w:rPr>
              <w:t>8</w:t>
            </w:r>
            <w:r>
              <w:rPr>
                <w:rFonts w:hint="eastAsia" w:ascii="宋体" w:hAnsi="宋体" w:cs="宋体"/>
                <w:szCs w:val="21"/>
              </w:rPr>
              <w:t>分）</w:t>
            </w:r>
          </w:p>
          <w:p w14:paraId="56CA9374">
            <w:pPr>
              <w:textAlignment w:val="center"/>
              <w:rPr>
                <w:rFonts w:ascii="宋体" w:hAnsi="宋体" w:cs="宋体"/>
                <w:szCs w:val="21"/>
              </w:rPr>
            </w:pPr>
          </w:p>
        </w:tc>
        <w:tc>
          <w:tcPr>
            <w:tcW w:w="5786" w:type="dxa"/>
            <w:tcBorders>
              <w:top w:val="single" w:color="auto" w:sz="4" w:space="0"/>
              <w:left w:val="single" w:color="auto" w:sz="4" w:space="0"/>
              <w:bottom w:val="single" w:color="auto" w:sz="4" w:space="0"/>
              <w:right w:val="single" w:color="auto" w:sz="4" w:space="0"/>
            </w:tcBorders>
            <w:noWrap/>
            <w:vAlign w:val="center"/>
          </w:tcPr>
          <w:p w14:paraId="2CFF9A18">
            <w:pPr>
              <w:wordWrap w:val="0"/>
              <w:overflowPunct w:val="0"/>
              <w:adjustRightInd w:val="0"/>
              <w:snapToGrid w:val="0"/>
              <w:spacing w:line="360" w:lineRule="exact"/>
              <w:jc w:val="left"/>
              <w:rPr>
                <w:rFonts w:ascii="宋体" w:hAnsi="宋体" w:cs="宋体"/>
                <w:bCs/>
                <w:color w:val="0C0C0C"/>
                <w:spacing w:val="4"/>
                <w:szCs w:val="21"/>
              </w:rPr>
            </w:pPr>
            <w:r>
              <w:rPr>
                <w:rFonts w:hint="eastAsia" w:ascii="宋体" w:hAnsi="宋体" w:cs="宋体"/>
                <w:bCs/>
                <w:color w:val="0C0C0C"/>
                <w:spacing w:val="4"/>
                <w:szCs w:val="21"/>
              </w:rPr>
              <w:t>1、拟派的机电</w:t>
            </w:r>
            <w:r>
              <w:rPr>
                <w:rFonts w:hint="eastAsia" w:ascii="宋体" w:hAnsi="宋体" w:cs="宋体"/>
                <w:bCs/>
                <w:color w:val="0C0C0C"/>
                <w:spacing w:val="4"/>
                <w:szCs w:val="21"/>
                <w:lang w:val="en-US" w:eastAsia="zh-CN"/>
              </w:rPr>
              <w:t>安装工程相关</w:t>
            </w:r>
            <w:r>
              <w:rPr>
                <w:rFonts w:hint="eastAsia" w:ascii="宋体" w:hAnsi="宋体" w:cs="宋体"/>
                <w:bCs/>
                <w:color w:val="0C0C0C"/>
                <w:spacing w:val="4"/>
                <w:szCs w:val="21"/>
              </w:rPr>
              <w:t>专业监理工程师（如同时配备多名机电</w:t>
            </w:r>
            <w:r>
              <w:rPr>
                <w:rFonts w:hint="eastAsia" w:ascii="宋体" w:hAnsi="宋体" w:cs="宋体"/>
                <w:bCs/>
                <w:color w:val="0C0C0C"/>
                <w:spacing w:val="4"/>
                <w:szCs w:val="21"/>
                <w:lang w:val="en-US" w:eastAsia="zh-CN"/>
              </w:rPr>
              <w:t>安装工程相关</w:t>
            </w:r>
            <w:r>
              <w:rPr>
                <w:rFonts w:hint="eastAsia" w:ascii="宋体" w:hAnsi="宋体" w:cs="宋体"/>
                <w:bCs/>
                <w:color w:val="0C0C0C"/>
                <w:spacing w:val="4"/>
                <w:szCs w:val="21"/>
              </w:rPr>
              <w:t>专业监理工程师的，只计其中一名人员的得分）：</w:t>
            </w:r>
          </w:p>
          <w:p w14:paraId="4907CE88">
            <w:pPr>
              <w:wordWrap w:val="0"/>
              <w:overflowPunct w:val="0"/>
              <w:adjustRightInd w:val="0"/>
              <w:snapToGrid w:val="0"/>
              <w:spacing w:line="360" w:lineRule="exact"/>
              <w:jc w:val="left"/>
              <w:rPr>
                <w:rFonts w:ascii="宋体" w:hAnsi="宋体" w:cs="宋体"/>
                <w:bCs/>
                <w:color w:val="0C0C0C"/>
                <w:spacing w:val="4"/>
                <w:szCs w:val="21"/>
              </w:rPr>
            </w:pPr>
            <w:r>
              <w:rPr>
                <w:rFonts w:hint="eastAsia" w:ascii="宋体" w:hAnsi="宋体" w:cs="宋体"/>
                <w:bCs/>
                <w:color w:val="0C0C0C"/>
                <w:spacing w:val="4"/>
                <w:szCs w:val="21"/>
              </w:rPr>
              <w:t>（1）具备国家注册监理工程师注册专业为机电安装工程，得</w:t>
            </w:r>
            <w:r>
              <w:rPr>
                <w:rFonts w:hint="eastAsia" w:ascii="宋体" w:hAnsi="宋体" w:cs="宋体"/>
                <w:bCs/>
                <w:color w:val="0C0C0C"/>
                <w:spacing w:val="4"/>
                <w:szCs w:val="21"/>
                <w:lang w:val="en-US" w:eastAsia="zh-CN"/>
              </w:rPr>
              <w:t>4</w:t>
            </w:r>
            <w:r>
              <w:rPr>
                <w:rFonts w:hint="eastAsia" w:ascii="宋体" w:hAnsi="宋体" w:cs="宋体"/>
                <w:bCs/>
                <w:color w:val="0C0C0C"/>
                <w:spacing w:val="4"/>
                <w:szCs w:val="21"/>
              </w:rPr>
              <w:t>分；</w:t>
            </w:r>
          </w:p>
          <w:p w14:paraId="01727550">
            <w:pPr>
              <w:numPr>
                <w:ilvl w:val="0"/>
                <w:numId w:val="6"/>
              </w:numPr>
              <w:spacing w:line="360" w:lineRule="exact"/>
              <w:textAlignment w:val="center"/>
              <w:rPr>
                <w:rFonts w:ascii="宋体" w:hAnsi="宋体" w:cs="宋体"/>
                <w:bCs/>
                <w:color w:val="0C0C0C"/>
                <w:spacing w:val="4"/>
                <w:szCs w:val="21"/>
              </w:rPr>
            </w:pPr>
            <w:r>
              <w:rPr>
                <w:rFonts w:hint="eastAsia" w:ascii="宋体" w:hAnsi="宋体" w:cs="宋体"/>
                <w:bCs/>
                <w:color w:val="0C0C0C"/>
                <w:spacing w:val="4"/>
                <w:szCs w:val="21"/>
              </w:rPr>
              <w:t>拟派的电力工程</w:t>
            </w:r>
            <w:r>
              <w:rPr>
                <w:rFonts w:hint="eastAsia" w:ascii="宋体" w:hAnsi="宋体" w:cs="宋体"/>
                <w:bCs/>
                <w:color w:val="0C0C0C"/>
                <w:spacing w:val="4"/>
                <w:szCs w:val="21"/>
                <w:lang w:val="en-US" w:eastAsia="zh-CN"/>
              </w:rPr>
              <w:t>相关</w:t>
            </w:r>
            <w:r>
              <w:rPr>
                <w:rFonts w:hint="eastAsia" w:ascii="宋体" w:hAnsi="宋体" w:cs="宋体"/>
                <w:bCs/>
                <w:color w:val="0C0C0C"/>
                <w:spacing w:val="4"/>
                <w:szCs w:val="21"/>
              </w:rPr>
              <w:t>专业监理工程师（如同时配备多名电力工程</w:t>
            </w:r>
            <w:r>
              <w:rPr>
                <w:rFonts w:hint="eastAsia" w:ascii="宋体" w:hAnsi="宋体" w:cs="宋体"/>
                <w:bCs/>
                <w:color w:val="0C0C0C"/>
                <w:spacing w:val="4"/>
                <w:szCs w:val="21"/>
                <w:lang w:val="en-US" w:eastAsia="zh-CN"/>
              </w:rPr>
              <w:t>相关</w:t>
            </w:r>
            <w:r>
              <w:rPr>
                <w:rFonts w:hint="eastAsia" w:ascii="宋体" w:hAnsi="宋体" w:cs="宋体"/>
                <w:bCs/>
                <w:color w:val="0C0C0C"/>
                <w:spacing w:val="4"/>
                <w:szCs w:val="21"/>
              </w:rPr>
              <w:t>专业监理工程师的，只计其中一名人员的得分）：</w:t>
            </w:r>
          </w:p>
          <w:p w14:paraId="068D9F9B">
            <w:pPr>
              <w:numPr>
                <w:ilvl w:val="0"/>
                <w:numId w:val="7"/>
              </w:numPr>
              <w:spacing w:line="360" w:lineRule="exact"/>
              <w:textAlignment w:val="center"/>
              <w:rPr>
                <w:rFonts w:ascii="宋体" w:hAnsi="宋体" w:cs="宋体"/>
                <w:bCs/>
                <w:color w:val="0C0C0C"/>
                <w:spacing w:val="4"/>
                <w:szCs w:val="21"/>
              </w:rPr>
            </w:pPr>
            <w:r>
              <w:rPr>
                <w:rFonts w:hint="eastAsia" w:ascii="宋体" w:hAnsi="宋体" w:cs="宋体"/>
                <w:bCs/>
                <w:color w:val="0C0C0C"/>
                <w:spacing w:val="4"/>
                <w:szCs w:val="21"/>
              </w:rPr>
              <w:t>具备国家注册监理工程师注册专业为电力工程，得</w:t>
            </w:r>
            <w:r>
              <w:rPr>
                <w:rFonts w:hint="eastAsia" w:ascii="宋体" w:hAnsi="宋体" w:cs="宋体"/>
                <w:bCs/>
                <w:color w:val="0C0C0C"/>
                <w:spacing w:val="4"/>
                <w:szCs w:val="21"/>
                <w:lang w:val="en-US" w:eastAsia="zh-CN"/>
              </w:rPr>
              <w:t>2</w:t>
            </w:r>
            <w:r>
              <w:rPr>
                <w:rFonts w:hint="eastAsia" w:ascii="宋体" w:hAnsi="宋体" w:cs="宋体"/>
                <w:bCs/>
                <w:color w:val="0C0C0C"/>
                <w:spacing w:val="4"/>
                <w:szCs w:val="21"/>
              </w:rPr>
              <w:t>分；</w:t>
            </w:r>
          </w:p>
          <w:p w14:paraId="314AD241">
            <w:pPr>
              <w:numPr>
                <w:ilvl w:val="0"/>
                <w:numId w:val="7"/>
              </w:numPr>
              <w:spacing w:line="360" w:lineRule="exact"/>
              <w:textAlignment w:val="center"/>
            </w:pPr>
            <w:r>
              <w:rPr>
                <w:rFonts w:hint="eastAsia" w:ascii="宋体" w:hAnsi="宋体" w:cs="宋体"/>
                <w:bCs/>
                <w:color w:val="0C0C0C"/>
                <w:spacing w:val="4"/>
                <w:szCs w:val="21"/>
              </w:rPr>
              <w:t>具备一级</w:t>
            </w:r>
            <w:r>
              <w:rPr>
                <w:rFonts w:hint="eastAsia" w:ascii="宋体" w:hAnsi="宋体" w:cs="宋体"/>
                <w:bCs/>
                <w:color w:val="0C0C0C"/>
                <w:spacing w:val="4"/>
                <w:szCs w:val="21"/>
                <w:lang w:val="en-US" w:eastAsia="zh-CN"/>
              </w:rPr>
              <w:t>注册</w:t>
            </w:r>
            <w:r>
              <w:rPr>
                <w:rFonts w:hint="eastAsia" w:ascii="宋体" w:hAnsi="宋体" w:cs="宋体"/>
                <w:bCs/>
                <w:color w:val="0C0C0C"/>
                <w:spacing w:val="4"/>
                <w:szCs w:val="21"/>
              </w:rPr>
              <w:t>建造师</w:t>
            </w:r>
            <w:r>
              <w:rPr>
                <w:rFonts w:hint="eastAsia" w:ascii="宋体" w:hAnsi="宋体" w:cs="宋体"/>
                <w:bCs/>
                <w:color w:val="0C0C0C"/>
                <w:spacing w:val="4"/>
                <w:szCs w:val="21"/>
                <w:lang w:val="en-US" w:eastAsia="zh-CN"/>
              </w:rPr>
              <w:t>的</w:t>
            </w:r>
            <w:r>
              <w:rPr>
                <w:rFonts w:hint="eastAsia" w:ascii="宋体" w:hAnsi="宋体" w:cs="宋体"/>
                <w:bCs/>
                <w:color w:val="0C0C0C"/>
                <w:spacing w:val="4"/>
                <w:szCs w:val="21"/>
              </w:rPr>
              <w:t>，得</w:t>
            </w:r>
            <w:r>
              <w:rPr>
                <w:rFonts w:hint="eastAsia" w:ascii="宋体" w:hAnsi="宋体" w:cs="宋体"/>
                <w:bCs/>
                <w:color w:val="0C0C0C"/>
                <w:spacing w:val="4"/>
                <w:szCs w:val="21"/>
                <w:lang w:val="en-US" w:eastAsia="zh-CN"/>
              </w:rPr>
              <w:t>2</w:t>
            </w:r>
            <w:r>
              <w:rPr>
                <w:rFonts w:hint="eastAsia" w:ascii="宋体" w:hAnsi="宋体" w:cs="宋体"/>
                <w:bCs/>
                <w:color w:val="0C0C0C"/>
                <w:spacing w:val="4"/>
                <w:szCs w:val="21"/>
              </w:rPr>
              <w:t>分；</w:t>
            </w:r>
          </w:p>
        </w:tc>
      </w:tr>
      <w:tr w14:paraId="6464A4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jc w:val="center"/>
        </w:trPr>
        <w:tc>
          <w:tcPr>
            <w:tcW w:w="1809" w:type="dxa"/>
            <w:gridSpan w:val="2"/>
            <w:vMerge w:val="continue"/>
            <w:tcBorders>
              <w:right w:val="single" w:color="auto" w:sz="4" w:space="0"/>
            </w:tcBorders>
            <w:noWrap/>
            <w:vAlign w:val="center"/>
          </w:tcPr>
          <w:p w14:paraId="1BE47855">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5B64566B">
            <w:pPr>
              <w:textAlignment w:val="center"/>
              <w:rPr>
                <w:rFonts w:ascii="宋体" w:hAnsi="宋体" w:cs="宋体"/>
                <w:szCs w:val="21"/>
              </w:rPr>
            </w:pPr>
            <w:r>
              <w:rPr>
                <w:rFonts w:hint="eastAsia" w:ascii="宋体" w:hAnsi="宋体" w:cs="宋体"/>
                <w:szCs w:val="21"/>
              </w:rPr>
              <w:t>3、工程业绩（满分4分）</w:t>
            </w:r>
          </w:p>
          <w:p w14:paraId="46878AB9">
            <w:pPr>
              <w:textAlignment w:val="center"/>
              <w:rPr>
                <w:rFonts w:ascii="宋体" w:hAnsi="宋体" w:cs="宋体"/>
                <w:szCs w:val="21"/>
              </w:rPr>
            </w:pPr>
          </w:p>
        </w:tc>
        <w:tc>
          <w:tcPr>
            <w:tcW w:w="5786" w:type="dxa"/>
            <w:tcBorders>
              <w:top w:val="single" w:color="auto" w:sz="4" w:space="0"/>
              <w:left w:val="single" w:color="auto" w:sz="4" w:space="0"/>
              <w:bottom w:val="single" w:color="auto" w:sz="4" w:space="0"/>
              <w:right w:val="single" w:color="auto" w:sz="4" w:space="0"/>
            </w:tcBorders>
            <w:noWrap/>
            <w:vAlign w:val="center"/>
          </w:tcPr>
          <w:p w14:paraId="53EEF3F8">
            <w:pPr>
              <w:textAlignment w:val="center"/>
              <w:rPr>
                <w:rFonts w:ascii="宋体" w:hAnsi="宋体" w:cs="宋体"/>
                <w:szCs w:val="21"/>
              </w:rPr>
            </w:pPr>
            <w:r>
              <w:rPr>
                <w:rFonts w:hint="eastAsia" w:ascii="宋体" w:hAnsi="宋体" w:cs="宋体"/>
                <w:szCs w:val="21"/>
              </w:rPr>
              <w:t>投标人自 202</w:t>
            </w:r>
            <w:r>
              <w:rPr>
                <w:rFonts w:hint="eastAsia" w:ascii="宋体" w:hAnsi="宋体" w:cs="宋体"/>
                <w:szCs w:val="21"/>
                <w:lang w:val="en-US" w:eastAsia="zh-CN"/>
              </w:rPr>
              <w:t>0</w:t>
            </w:r>
            <w:r>
              <w:rPr>
                <w:rFonts w:hint="eastAsia" w:ascii="宋体" w:hAnsi="宋体" w:cs="宋体"/>
                <w:szCs w:val="21"/>
              </w:rPr>
              <w:t>年 8月 1 日以来（时间以竣工验收日期为准）承担过电力工程项目监理业绩有一个得 2分，本项最高得分4分。</w:t>
            </w:r>
          </w:p>
          <w:p w14:paraId="34E18C23">
            <w:pPr>
              <w:textAlignment w:val="center"/>
              <w:rPr>
                <w:rFonts w:ascii="宋体" w:hAnsi="宋体" w:cs="宋体"/>
                <w:b/>
                <w:szCs w:val="21"/>
              </w:rPr>
            </w:pPr>
            <w:r>
              <w:rPr>
                <w:rFonts w:hint="eastAsia" w:ascii="宋体" w:hAnsi="宋体" w:cs="宋体"/>
                <w:b/>
                <w:szCs w:val="21"/>
              </w:rPr>
              <w:t>注：业绩证明材料需提供（1）中标通知书</w:t>
            </w:r>
            <w:r>
              <w:rPr>
                <w:rFonts w:hint="eastAsia" w:ascii="宋体" w:hAnsi="宋体" w:cs="宋体"/>
                <w:b/>
                <w:color w:val="0C0C0C" w:themeColor="text1" w:themeTint="F2"/>
                <w:szCs w:val="21"/>
              </w:rPr>
              <w:t>（或直接发包通知书）</w:t>
            </w:r>
            <w:r>
              <w:rPr>
                <w:rFonts w:hint="eastAsia" w:ascii="宋体" w:hAnsi="宋体" w:cs="宋体"/>
                <w:b/>
                <w:szCs w:val="21"/>
              </w:rPr>
              <w:t>或监理合同、（2）竣工验收证明证明材料，上述（1）和（2）证明材料缺一不可。提供的相关证明材料必须反映出</w:t>
            </w:r>
            <w:r>
              <w:rPr>
                <w:rFonts w:hint="eastAsia" w:ascii="宋体" w:hAnsi="宋体" w:cs="宋体"/>
                <w:b/>
                <w:szCs w:val="21"/>
                <w:lang w:val="en-US" w:eastAsia="zh-CN"/>
              </w:rPr>
              <w:t>评审的</w:t>
            </w:r>
            <w:r>
              <w:rPr>
                <w:rFonts w:hint="eastAsia" w:ascii="宋体" w:hAnsi="宋体" w:cs="宋体"/>
                <w:b/>
                <w:szCs w:val="21"/>
              </w:rPr>
              <w:t>相关数据和内容，否则视为无效。</w:t>
            </w:r>
          </w:p>
        </w:tc>
      </w:tr>
      <w:tr w14:paraId="16BDD5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jc w:val="center"/>
        </w:trPr>
        <w:tc>
          <w:tcPr>
            <w:tcW w:w="1809" w:type="dxa"/>
            <w:gridSpan w:val="2"/>
            <w:vMerge w:val="continue"/>
            <w:tcBorders>
              <w:bottom w:val="single" w:color="auto" w:sz="4" w:space="0"/>
              <w:right w:val="single" w:color="auto" w:sz="4" w:space="0"/>
            </w:tcBorders>
            <w:noWrap/>
            <w:vAlign w:val="center"/>
          </w:tcPr>
          <w:p w14:paraId="1C3D11A2">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5BB31190">
            <w:pPr>
              <w:overflowPunct w:val="0"/>
              <w:spacing w:line="360" w:lineRule="exact"/>
              <w:rPr>
                <w:rFonts w:ascii="宋体" w:hAnsi="宋体" w:cs="宋体"/>
                <w:b/>
                <w:bCs/>
                <w:color w:val="0C0C0C" w:themeColor="text1" w:themeTint="F2"/>
                <w:spacing w:val="-16"/>
              </w:rPr>
            </w:pPr>
            <w:r>
              <w:rPr>
                <w:rFonts w:hint="eastAsia" w:ascii="宋体" w:hAnsi="宋体" w:cs="宋体"/>
                <w:b/>
                <w:bCs/>
                <w:color w:val="0C0C0C" w:themeColor="text1" w:themeTint="F2"/>
                <w:spacing w:val="-16"/>
              </w:rPr>
              <w:t>4、</w:t>
            </w:r>
            <w:r>
              <w:rPr>
                <w:rFonts w:ascii="宋体" w:hAnsi="宋体" w:cs="宋体"/>
                <w:b/>
                <w:bCs/>
                <w:color w:val="0C0C0C" w:themeColor="text1" w:themeTint="F2"/>
                <w:spacing w:val="-16"/>
              </w:rPr>
              <w:t>投标人市场信用评价</w:t>
            </w:r>
          </w:p>
          <w:p w14:paraId="025C78BE">
            <w:pPr>
              <w:overflowPunct w:val="0"/>
              <w:spacing w:line="360" w:lineRule="exact"/>
              <w:jc w:val="center"/>
              <w:rPr>
                <w:rFonts w:ascii="宋体" w:hAnsi="宋体" w:cs="宋体"/>
                <w:color w:val="FF0000"/>
                <w:szCs w:val="21"/>
              </w:rPr>
            </w:pPr>
            <w:r>
              <w:rPr>
                <w:rFonts w:hint="eastAsia" w:ascii="宋体" w:hAnsi="宋体" w:cs="宋体"/>
                <w:b/>
                <w:bCs/>
                <w:color w:val="0C0C0C" w:themeColor="text1" w:themeTint="F2"/>
                <w:spacing w:val="-16"/>
              </w:rPr>
              <w:t>（4分）</w:t>
            </w:r>
          </w:p>
        </w:tc>
        <w:tc>
          <w:tcPr>
            <w:tcW w:w="5786" w:type="dxa"/>
            <w:tcBorders>
              <w:top w:val="single" w:color="auto" w:sz="4" w:space="0"/>
              <w:left w:val="single" w:color="auto" w:sz="4" w:space="0"/>
              <w:bottom w:val="single" w:color="auto" w:sz="4" w:space="0"/>
              <w:right w:val="single" w:color="auto" w:sz="4" w:space="0"/>
            </w:tcBorders>
            <w:noWrap/>
            <w:vAlign w:val="center"/>
          </w:tcPr>
          <w:p w14:paraId="7E88A855">
            <w:pPr>
              <w:widowControl/>
              <w:overflowPunct w:val="0"/>
              <w:autoSpaceDE w:val="0"/>
              <w:autoSpaceDN w:val="0"/>
              <w:adjustRightInd w:val="0"/>
              <w:snapToGrid w:val="0"/>
              <w:spacing w:line="360" w:lineRule="exact"/>
              <w:textAlignment w:val="baseline"/>
              <w:rPr>
                <w:rFonts w:ascii="宋体" w:hAnsi="宋体"/>
                <w:bCs/>
                <w:color w:val="0C0C0C" w:themeColor="text1" w:themeTint="F2"/>
              </w:rPr>
            </w:pPr>
            <w:r>
              <w:rPr>
                <w:rFonts w:hint="eastAsia"/>
                <w:bCs/>
                <w:color w:val="0C0C0C" w:themeColor="text1" w:themeTint="F2"/>
              </w:rPr>
              <w:t>企业信用考核</w:t>
            </w:r>
            <w:r>
              <w:rPr>
                <w:rFonts w:hint="eastAsia" w:ascii="宋体" w:hAnsi="宋体"/>
                <w:bCs/>
                <w:color w:val="0C0C0C" w:themeColor="text1" w:themeTint="F2"/>
              </w:rPr>
              <w:t>部分：4.0分</w:t>
            </w:r>
          </w:p>
          <w:p w14:paraId="27340717">
            <w:pPr>
              <w:widowControl/>
              <w:overflowPunct w:val="0"/>
              <w:autoSpaceDE w:val="0"/>
              <w:autoSpaceDN w:val="0"/>
              <w:adjustRightInd w:val="0"/>
              <w:snapToGrid w:val="0"/>
              <w:spacing w:line="360" w:lineRule="exact"/>
              <w:textAlignment w:val="baseline"/>
              <w:rPr>
                <w:rFonts w:ascii="宋体" w:hAnsi="宋体" w:cs="宋体"/>
                <w:bCs/>
                <w:color w:val="0C0C0C" w:themeColor="text1" w:themeTint="F2"/>
              </w:rPr>
            </w:pPr>
            <w:r>
              <w:rPr>
                <w:rFonts w:hint="eastAsia" w:ascii="宋体" w:hAnsi="宋体" w:cs="宋体"/>
                <w:bCs/>
                <w:color w:val="0C0C0C" w:themeColor="text1" w:themeTint="F2"/>
              </w:rPr>
              <w:t>企业信用因素评分值占总分值的比例为总分值的4.0%；</w:t>
            </w:r>
          </w:p>
          <w:p w14:paraId="3BE54A34">
            <w:pPr>
              <w:widowControl/>
              <w:overflowPunct w:val="0"/>
              <w:autoSpaceDE w:val="0"/>
              <w:autoSpaceDN w:val="0"/>
              <w:adjustRightInd w:val="0"/>
              <w:snapToGrid w:val="0"/>
              <w:spacing w:line="360" w:lineRule="exact"/>
              <w:textAlignment w:val="baseline"/>
              <w:rPr>
                <w:rFonts w:ascii="宋体" w:hAnsi="宋体" w:cs="宋体"/>
                <w:b/>
                <w:color w:val="FF0000"/>
                <w:szCs w:val="21"/>
              </w:rPr>
            </w:pPr>
            <w:r>
              <w:rPr>
                <w:rFonts w:hint="eastAsia" w:ascii="宋体" w:hAnsi="宋体" w:cs="宋体"/>
                <w:bCs/>
                <w:color w:val="0C0C0C" w:themeColor="text1" w:themeTint="F2"/>
              </w:rPr>
              <w:t>信用分的确定：</w:t>
            </w:r>
            <w:r>
              <w:rPr>
                <w:rFonts w:ascii="宋体" w:hAnsi="宋体" w:cs="宋体"/>
                <w:color w:val="0C0C0C" w:themeColor="text1" w:themeTint="F2"/>
                <w:spacing w:val="13"/>
                <w:sz w:val="20"/>
                <w:szCs w:val="20"/>
              </w:rPr>
              <w:t>各投标企业信用考核得分为最新南</w:t>
            </w:r>
            <w:r>
              <w:rPr>
                <w:rFonts w:ascii="宋体" w:hAnsi="宋体" w:cs="宋体"/>
                <w:color w:val="0C0C0C" w:themeColor="text1" w:themeTint="F2"/>
                <w:spacing w:val="12"/>
                <w:sz w:val="20"/>
                <w:szCs w:val="20"/>
              </w:rPr>
              <w:t>通市工程监理企业信用评价结果综合得分</w:t>
            </w:r>
            <w:r>
              <w:rPr>
                <w:rFonts w:hint="eastAsia" w:ascii="宋体" w:hAnsi="宋体" w:cs="宋体"/>
                <w:bCs/>
                <w:color w:val="0C0C0C" w:themeColor="text1" w:themeTint="F2"/>
                <w:sz w:val="24"/>
              </w:rPr>
              <w:t>×</w:t>
            </w:r>
            <w:r>
              <w:rPr>
                <w:rFonts w:hint="eastAsia" w:ascii="宋体" w:hAnsi="宋体" w:cs="宋体"/>
                <w:bCs/>
                <w:color w:val="0C0C0C" w:themeColor="text1" w:themeTint="F2"/>
              </w:rPr>
              <w:t>4.0%（采用四舍五入保留两位小数）；</w:t>
            </w:r>
            <w:r>
              <w:rPr>
                <w:rFonts w:ascii="宋体" w:hAnsi="宋体" w:cs="宋体"/>
                <w:color w:val="0C0C0C" w:themeColor="text1" w:themeTint="F2"/>
                <w:spacing w:val="12"/>
                <w:sz w:val="20"/>
                <w:szCs w:val="20"/>
              </w:rPr>
              <w:t>如投标企业未参加最</w:t>
            </w:r>
            <w:r>
              <w:rPr>
                <w:rFonts w:ascii="宋体" w:hAnsi="宋体" w:cs="宋体"/>
                <w:color w:val="0C0C0C" w:themeColor="text1" w:themeTint="F2"/>
                <w:spacing w:val="13"/>
                <w:sz w:val="20"/>
                <w:szCs w:val="20"/>
              </w:rPr>
              <w:t>新南通市工程监理企业信用评价考核，则全部按信</w:t>
            </w:r>
            <w:r>
              <w:rPr>
                <w:rFonts w:ascii="宋体" w:hAnsi="宋体" w:cs="宋体"/>
                <w:color w:val="0C0C0C" w:themeColor="text1" w:themeTint="F2"/>
                <w:spacing w:val="6"/>
                <w:sz w:val="20"/>
                <w:szCs w:val="20"/>
              </w:rPr>
              <w:t>用占比分值的 60%计取。</w:t>
            </w:r>
          </w:p>
        </w:tc>
      </w:tr>
      <w:tr w14:paraId="451036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09" w:type="dxa"/>
            <w:gridSpan w:val="2"/>
            <w:vMerge w:val="restart"/>
            <w:tcBorders>
              <w:top w:val="single" w:color="auto" w:sz="4" w:space="0"/>
              <w:right w:val="single" w:color="auto" w:sz="4" w:space="0"/>
            </w:tcBorders>
            <w:noWrap/>
            <w:vAlign w:val="center"/>
          </w:tcPr>
          <w:p w14:paraId="3CF85799">
            <w:pPr>
              <w:textAlignment w:val="center"/>
              <w:rPr>
                <w:rFonts w:ascii="宋体" w:hAnsi="宋体" w:cs="宋体"/>
                <w:szCs w:val="21"/>
              </w:rPr>
            </w:pPr>
            <w:r>
              <w:rPr>
                <w:rFonts w:hint="eastAsia" w:ascii="宋体" w:hAnsi="宋体" w:cs="宋体"/>
                <w:szCs w:val="21"/>
              </w:rPr>
              <w:t>2.3.3</w:t>
            </w:r>
          </w:p>
        </w:tc>
        <w:tc>
          <w:tcPr>
            <w:tcW w:w="2410" w:type="dxa"/>
            <w:tcBorders>
              <w:top w:val="single" w:color="auto" w:sz="4" w:space="0"/>
              <w:left w:val="single" w:color="auto" w:sz="4" w:space="0"/>
              <w:bottom w:val="single" w:color="auto" w:sz="4" w:space="0"/>
              <w:right w:val="single" w:color="auto" w:sz="4" w:space="0"/>
            </w:tcBorders>
            <w:noWrap/>
            <w:vAlign w:val="center"/>
          </w:tcPr>
          <w:p w14:paraId="5487DE18">
            <w:pPr>
              <w:textAlignment w:val="center"/>
              <w:rPr>
                <w:rFonts w:ascii="宋体" w:hAnsi="宋体" w:cs="宋体"/>
                <w:szCs w:val="21"/>
              </w:rPr>
            </w:pPr>
            <w:r>
              <w:rPr>
                <w:rFonts w:hint="eastAsia" w:ascii="宋体" w:hAnsi="宋体" w:cs="宋体"/>
                <w:szCs w:val="21"/>
              </w:rPr>
              <w:t>评标基准价计算方法</w:t>
            </w:r>
          </w:p>
        </w:tc>
        <w:tc>
          <w:tcPr>
            <w:tcW w:w="5786" w:type="dxa"/>
            <w:tcBorders>
              <w:top w:val="single" w:color="auto" w:sz="4" w:space="0"/>
              <w:left w:val="single" w:color="auto" w:sz="4" w:space="0"/>
              <w:bottom w:val="single" w:color="auto" w:sz="4" w:space="0"/>
              <w:right w:val="single" w:color="auto" w:sz="4" w:space="0"/>
            </w:tcBorders>
            <w:noWrap/>
            <w:vAlign w:val="center"/>
          </w:tcPr>
          <w:p w14:paraId="4148B021">
            <w:pPr>
              <w:textAlignment w:val="center"/>
              <w:rPr>
                <w:rFonts w:ascii="宋体" w:hAnsi="宋体" w:cs="宋体"/>
                <w:szCs w:val="21"/>
              </w:rPr>
            </w:pPr>
            <w:r>
              <w:rPr>
                <w:rFonts w:hint="eastAsia" w:ascii="宋体" w:hAnsi="宋体" w:cs="宋体"/>
                <w:szCs w:val="21"/>
              </w:rPr>
              <w:t>经初步评审合格的投标文件，评标委员会根据招标文件确定的评标标准和方法，对其报价部分作进一步评审。</w:t>
            </w:r>
          </w:p>
          <w:p w14:paraId="17CAF8A3">
            <w:pPr>
              <w:textAlignment w:val="center"/>
              <w:rPr>
                <w:rFonts w:ascii="宋体" w:hAnsi="宋体" w:cs="宋体"/>
                <w:szCs w:val="21"/>
              </w:rPr>
            </w:pPr>
            <w:r>
              <w:rPr>
                <w:rFonts w:hint="eastAsia" w:ascii="宋体" w:hAnsi="宋体" w:cs="宋体"/>
                <w:szCs w:val="21"/>
              </w:rPr>
              <w:t>投标报价(80分)</w:t>
            </w:r>
          </w:p>
          <w:p w14:paraId="54BDB5E3">
            <w:pPr>
              <w:overflowPunct w:val="0"/>
              <w:spacing w:line="360" w:lineRule="exact"/>
              <w:rPr>
                <w:rFonts w:ascii="宋体" w:hAnsi="宋体" w:cs="宋体"/>
                <w:color w:val="000000" w:themeColor="text1"/>
              </w:rPr>
            </w:pPr>
            <w:r>
              <w:rPr>
                <w:rFonts w:ascii="宋体" w:hAnsi="宋体" w:cs="宋体"/>
                <w:color w:val="000000" w:themeColor="text1"/>
                <w:spacing w:val="8"/>
              </w:rPr>
              <w:t>评标基准价</w:t>
            </w:r>
            <w:r>
              <w:rPr>
                <w:rFonts w:hint="eastAsia" w:ascii="宋体" w:hAnsi="宋体" w:cs="宋体"/>
                <w:color w:val="000000" w:themeColor="text1"/>
                <w:spacing w:val="8"/>
              </w:rPr>
              <w:t>：</w:t>
            </w:r>
          </w:p>
          <w:p w14:paraId="19F433AA">
            <w:pPr>
              <w:overflowPunct w:val="0"/>
              <w:spacing w:line="360" w:lineRule="exact"/>
              <w:rPr>
                <w:rFonts w:ascii="宋体" w:hAnsi="宋体" w:cs="宋体"/>
                <w:color w:val="000000" w:themeColor="text1"/>
              </w:rPr>
            </w:pPr>
            <w:r>
              <w:rPr>
                <w:rFonts w:hint="eastAsia" w:ascii="宋体" w:hAnsi="宋体" w:cs="宋体"/>
                <w:color w:val="000000" w:themeColor="text1"/>
              </w:rPr>
              <w:t>（1）有效报价：指投标人的报价</w:t>
            </w:r>
            <w:r>
              <w:rPr>
                <w:rFonts w:hint="eastAsia" w:ascii="宋体" w:hAnsi="宋体" w:cs="宋体"/>
                <w:b/>
                <w:bCs/>
                <w:color w:val="000000" w:themeColor="text1"/>
              </w:rPr>
              <w:t>低于</w:t>
            </w:r>
            <w:r>
              <w:rPr>
                <w:rFonts w:hint="eastAsia" w:ascii="宋体" w:hAnsi="宋体" w:cs="宋体"/>
                <w:color w:val="000000" w:themeColor="text1"/>
              </w:rPr>
              <w:t>招标人设定的招标控制价</w:t>
            </w:r>
            <w:r>
              <w:rPr>
                <w:rFonts w:ascii="宋体" w:hAnsi="宋体" w:cs="宋体"/>
                <w:color w:val="000000" w:themeColor="text1"/>
                <w:spacing w:val="9"/>
              </w:rPr>
              <w:t>。</w:t>
            </w:r>
          </w:p>
          <w:p w14:paraId="44E437B6">
            <w:pPr>
              <w:overflowPunct w:val="0"/>
              <w:spacing w:line="360" w:lineRule="exact"/>
              <w:rPr>
                <w:rFonts w:ascii="宋体" w:hAnsi="宋体" w:cs="宋体"/>
                <w:color w:val="000000" w:themeColor="text1"/>
              </w:rPr>
            </w:pPr>
            <w:r>
              <w:rPr>
                <w:rFonts w:hint="eastAsia" w:ascii="宋体" w:hAnsi="宋体" w:cs="宋体"/>
                <w:color w:val="000000" w:themeColor="text1"/>
              </w:rPr>
              <w:t>（2）评标基准价 =A×Q1+B×Q2，Q2=1-Q1</w:t>
            </w:r>
          </w:p>
          <w:p w14:paraId="65539B2A">
            <w:pPr>
              <w:overflowPunct w:val="0"/>
              <w:spacing w:line="360" w:lineRule="exact"/>
              <w:rPr>
                <w:rFonts w:ascii="宋体" w:hAnsi="宋体" w:cs="宋体"/>
                <w:color w:val="000000" w:themeColor="text1"/>
              </w:rPr>
            </w:pPr>
            <w:r>
              <w:rPr>
                <w:rFonts w:hint="eastAsia" w:ascii="宋体" w:hAnsi="宋体" w:cs="宋体"/>
                <w:color w:val="000000" w:themeColor="text1"/>
              </w:rPr>
              <w:t>以有效投标文件的投标报价算术平均值为A；【当有效投标文件≥10家时，去掉其中的二个最高价和二个最低价后进行算术平均；若7≤当有效投标文件&lt;10家时，去掉其中的一个最高价和一个最低价后进行算术平均】；最高投标限价为B。Q1 值在开标前由招标人在系统随机抽取确定，Q1 值的取值范围为 10%、15%、20%、25%，30%。</w:t>
            </w:r>
          </w:p>
          <w:p w14:paraId="22B29289">
            <w:pPr>
              <w:textAlignment w:val="center"/>
              <w:rPr>
                <w:rFonts w:ascii="宋体" w:hAnsi="宋体" w:cs="宋体"/>
                <w:szCs w:val="21"/>
              </w:rPr>
            </w:pPr>
            <w:r>
              <w:rPr>
                <w:rFonts w:hint="eastAsia" w:ascii="宋体" w:hAnsi="宋体" w:cs="宋体"/>
                <w:color w:val="000000" w:themeColor="text1"/>
              </w:rPr>
              <w:t>评标委员会在评标报告上签字后，评标基准价不因招投标当事人质疑、投诉、复议以及其他任何情形而改变，但评标过程中的计算错误可作调整。</w:t>
            </w:r>
          </w:p>
        </w:tc>
      </w:tr>
      <w:tr w14:paraId="728A8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09" w:type="dxa"/>
            <w:gridSpan w:val="2"/>
            <w:vMerge w:val="continue"/>
            <w:tcBorders>
              <w:bottom w:val="single" w:color="auto" w:sz="4" w:space="0"/>
              <w:right w:val="single" w:color="auto" w:sz="4" w:space="0"/>
            </w:tcBorders>
            <w:noWrap/>
            <w:vAlign w:val="center"/>
          </w:tcPr>
          <w:p w14:paraId="765F158E">
            <w:pPr>
              <w:textAlignment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ign w:val="center"/>
          </w:tcPr>
          <w:p w14:paraId="05BFFFD7">
            <w:pPr>
              <w:textAlignment w:val="center"/>
              <w:rPr>
                <w:rFonts w:ascii="宋体" w:hAnsi="宋体" w:cs="宋体"/>
                <w:szCs w:val="21"/>
              </w:rPr>
            </w:pPr>
            <w:r>
              <w:rPr>
                <w:rFonts w:hint="eastAsia" w:ascii="宋体" w:hAnsi="宋体" w:cs="宋体"/>
                <w:szCs w:val="21"/>
              </w:rPr>
              <w:t>投标报价得分计算</w:t>
            </w:r>
          </w:p>
        </w:tc>
        <w:tc>
          <w:tcPr>
            <w:tcW w:w="5786" w:type="dxa"/>
            <w:tcBorders>
              <w:top w:val="single" w:color="auto" w:sz="4" w:space="0"/>
              <w:left w:val="single" w:color="auto" w:sz="4" w:space="0"/>
              <w:bottom w:val="single" w:color="auto" w:sz="4" w:space="0"/>
              <w:right w:val="single" w:color="auto" w:sz="4" w:space="0"/>
            </w:tcBorders>
            <w:noWrap/>
            <w:vAlign w:val="center"/>
          </w:tcPr>
          <w:p w14:paraId="177BF5EE">
            <w:pPr>
              <w:textAlignment w:val="center"/>
              <w:rPr>
                <w:rFonts w:ascii="宋体" w:hAnsi="宋体" w:cs="宋体"/>
                <w:szCs w:val="21"/>
              </w:rPr>
            </w:pPr>
            <w:r>
              <w:rPr>
                <w:rFonts w:hint="eastAsia" w:ascii="宋体" w:hAnsi="宋体" w:cs="宋体"/>
                <w:szCs w:val="21"/>
              </w:rPr>
              <w:t>投标报价等于评标基准价的得满分（80分），投标报价相对评标基准价每低1%扣 0.15分，每高1%扣 0.2 分；偏离不足1%的，按照插入法计算得分</w:t>
            </w:r>
          </w:p>
          <w:p w14:paraId="6CC384C8">
            <w:pPr>
              <w:pStyle w:val="30"/>
              <w:spacing w:line="360" w:lineRule="exact"/>
              <w:rPr>
                <w:rFonts w:ascii="宋体" w:hAnsi="宋体" w:cs="宋体"/>
                <w:color w:val="auto"/>
                <w:sz w:val="21"/>
              </w:rPr>
            </w:pPr>
            <w:r>
              <w:rPr>
                <w:rFonts w:hint="eastAsia" w:ascii="宋体" w:hAnsi="宋体" w:cs="宋体"/>
                <w:color w:val="auto"/>
                <w:sz w:val="21"/>
              </w:rPr>
              <w:t>①投标报价的偏差率计算公式：</w:t>
            </w:r>
          </w:p>
          <w:p w14:paraId="1B0815C9">
            <w:pPr>
              <w:pStyle w:val="30"/>
              <w:spacing w:line="360" w:lineRule="exact"/>
              <w:rPr>
                <w:rFonts w:ascii="宋体" w:hAnsi="宋体" w:cs="宋体"/>
                <w:color w:val="auto"/>
                <w:sz w:val="21"/>
              </w:rPr>
            </w:pPr>
            <w:r>
              <w:rPr>
                <w:rFonts w:hint="eastAsia" w:ascii="宋体" w:hAnsi="宋体" w:cs="宋体"/>
                <w:color w:val="auto"/>
                <w:sz w:val="21"/>
              </w:rPr>
              <w:t>偏差率=100%×（投标报价-评标基准价）/评标基准价</w:t>
            </w:r>
          </w:p>
          <w:p w14:paraId="32672ED7">
            <w:pPr>
              <w:pStyle w:val="30"/>
              <w:spacing w:line="360" w:lineRule="exact"/>
              <w:rPr>
                <w:rFonts w:ascii="宋体" w:hAnsi="宋体" w:cs="宋体"/>
                <w:color w:val="auto"/>
                <w:sz w:val="21"/>
              </w:rPr>
            </w:pPr>
            <w:r>
              <w:rPr>
                <w:rFonts w:hint="eastAsia" w:ascii="宋体" w:hAnsi="宋体" w:cs="宋体"/>
                <w:color w:val="auto"/>
                <w:sz w:val="21"/>
              </w:rPr>
              <w:t>②投标报价得分</w:t>
            </w:r>
          </w:p>
          <w:p w14:paraId="68008587">
            <w:pPr>
              <w:pStyle w:val="30"/>
              <w:spacing w:line="360" w:lineRule="exact"/>
              <w:rPr>
                <w:rFonts w:ascii="宋体" w:hAnsi="宋体" w:cs="宋体"/>
                <w:color w:val="auto"/>
                <w:sz w:val="21"/>
              </w:rPr>
            </w:pPr>
            <w:r>
              <w:rPr>
                <w:rFonts w:hint="eastAsia" w:ascii="宋体" w:hAnsi="宋体" w:cs="宋体"/>
                <w:color w:val="auto"/>
                <w:sz w:val="21"/>
              </w:rPr>
              <w:t>A、如果投标人的投标报价＞评标基准价，则投标报价得分=80﹣偏差率×100×0.2；</w:t>
            </w:r>
          </w:p>
          <w:p w14:paraId="32EB28F2">
            <w:pPr>
              <w:pStyle w:val="8"/>
            </w:pPr>
            <w:r>
              <w:rPr>
                <w:rFonts w:hint="eastAsia" w:ascii="宋体" w:hAnsi="宋体" w:cs="宋体"/>
                <w:kern w:val="0"/>
              </w:rPr>
              <w:t>B、如果投标人的投标报价≤评标基准价，则投标报价得分=8</w:t>
            </w:r>
            <w:r>
              <w:rPr>
                <w:rFonts w:hint="eastAsia" w:ascii="宋体" w:hAnsi="宋体" w:eastAsia="宋体" w:cs="宋体"/>
                <w:kern w:val="0"/>
              </w:rPr>
              <w:t>0</w:t>
            </w:r>
            <w:r>
              <w:rPr>
                <w:rFonts w:hint="eastAsia" w:ascii="宋体" w:hAnsi="宋体" w:cs="宋体"/>
                <w:kern w:val="0"/>
              </w:rPr>
              <w:t>﹢偏差率×100×0.</w:t>
            </w:r>
            <w:r>
              <w:rPr>
                <w:rFonts w:hint="eastAsia" w:ascii="宋体" w:hAnsi="宋体" w:eastAsia="宋体" w:cs="宋体"/>
                <w:kern w:val="0"/>
              </w:rPr>
              <w:t>15</w:t>
            </w:r>
            <w:r>
              <w:rPr>
                <w:rFonts w:hint="eastAsia" w:ascii="宋体" w:hAnsi="宋体" w:cs="宋体"/>
                <w:kern w:val="0"/>
              </w:rPr>
              <w:t>。</w:t>
            </w:r>
          </w:p>
        </w:tc>
      </w:tr>
    </w:tbl>
    <w:p w14:paraId="54A01A6C">
      <w:pPr>
        <w:pStyle w:val="3"/>
        <w:spacing w:line="420" w:lineRule="exact"/>
        <w:rPr>
          <w:rFonts w:ascii="宋体" w:hAnsi="宋体" w:eastAsia="宋体" w:cs="宋体"/>
          <w:b/>
        </w:rPr>
      </w:pPr>
      <w:r>
        <w:rPr>
          <w:rFonts w:hint="eastAsia" w:ascii="宋体" w:hAnsi="宋体" w:eastAsia="宋体" w:cs="宋体"/>
        </w:rPr>
        <w:br w:type="page"/>
      </w:r>
      <w:bookmarkStart w:id="37" w:name="_Toc398107888"/>
      <w:r>
        <w:rPr>
          <w:rFonts w:hint="eastAsia" w:ascii="宋体" w:hAnsi="宋体" w:eastAsia="宋体" w:cs="宋体"/>
          <w:b/>
        </w:rPr>
        <w:t>1</w:t>
      </w:r>
      <w:r>
        <w:rPr>
          <w:rFonts w:hint="eastAsia" w:ascii="宋体" w:hAnsi="宋体" w:eastAsia="宋体" w:cs="宋体"/>
          <w:b/>
          <w:sz w:val="28"/>
          <w:szCs w:val="28"/>
        </w:rPr>
        <w:t>. 评标方法</w:t>
      </w:r>
      <w:bookmarkEnd w:id="37"/>
    </w:p>
    <w:p w14:paraId="5EE4679D">
      <w:pPr>
        <w:spacing w:line="420" w:lineRule="exact"/>
        <w:ind w:firstLine="420" w:firstLineChars="200"/>
        <w:rPr>
          <w:rFonts w:ascii="宋体" w:hAnsi="宋体" w:cs="宋体"/>
        </w:rPr>
      </w:pPr>
      <w:bookmarkStart w:id="38" w:name="_Toc152042378"/>
      <w:bookmarkStart w:id="39" w:name="_Toc144974568"/>
      <w:bookmarkStart w:id="40" w:name="_Toc398107889"/>
      <w:bookmarkStart w:id="41" w:name="_Toc179632619"/>
      <w:bookmarkStart w:id="42" w:name="_Toc152045601"/>
      <w:r>
        <w:rPr>
          <w:rFonts w:hint="eastAsia" w:ascii="宋体" w:hAnsi="宋体" w:cs="宋体"/>
          <w:kern w:val="0"/>
          <w:szCs w:val="21"/>
        </w:rPr>
        <w:t>本次评标采用综合评估法。评标委员会对满足招标文件实质性要求的投标文件，按照本章第2.3款规定的评分标准进行打分，并按总得分由高到低顺序推荐中标候选人。</w:t>
      </w:r>
      <w:r>
        <w:rPr>
          <w:rFonts w:hint="eastAsia" w:ascii="宋体" w:hAnsi="宋体" w:cs="宋体"/>
        </w:rPr>
        <w:t>若“四舍五入”后出现得分相同且影响中标候选人排名时，则现场抽签确定。</w:t>
      </w:r>
    </w:p>
    <w:p w14:paraId="75B2501E">
      <w:pPr>
        <w:pStyle w:val="3"/>
        <w:spacing w:line="420" w:lineRule="exact"/>
        <w:rPr>
          <w:rFonts w:ascii="宋体" w:hAnsi="宋体" w:eastAsia="宋体" w:cs="宋体"/>
          <w:b/>
          <w:sz w:val="28"/>
          <w:szCs w:val="28"/>
        </w:rPr>
      </w:pPr>
      <w:r>
        <w:rPr>
          <w:rFonts w:hint="eastAsia" w:ascii="宋体" w:hAnsi="宋体" w:eastAsia="宋体" w:cs="宋体"/>
          <w:b/>
          <w:sz w:val="28"/>
          <w:szCs w:val="28"/>
        </w:rPr>
        <w:t>2. 评审标准</w:t>
      </w:r>
      <w:bookmarkEnd w:id="38"/>
      <w:bookmarkEnd w:id="39"/>
      <w:bookmarkEnd w:id="40"/>
      <w:bookmarkEnd w:id="41"/>
      <w:bookmarkEnd w:id="42"/>
    </w:p>
    <w:p w14:paraId="3D594BA4">
      <w:pPr>
        <w:pStyle w:val="4"/>
        <w:spacing w:line="420" w:lineRule="exact"/>
        <w:rPr>
          <w:rFonts w:ascii="宋体" w:hAnsi="宋体" w:eastAsia="宋体" w:cs="宋体"/>
        </w:rPr>
      </w:pPr>
      <w:bookmarkStart w:id="43" w:name="_Toc179632620"/>
      <w:bookmarkStart w:id="44" w:name="_Toc144974569"/>
      <w:bookmarkStart w:id="45" w:name="_Toc152042379"/>
      <w:bookmarkStart w:id="46" w:name="_Toc398107890"/>
      <w:bookmarkStart w:id="47" w:name="_Toc152045602"/>
      <w:r>
        <w:rPr>
          <w:rFonts w:hint="eastAsia" w:ascii="宋体" w:hAnsi="宋体" w:eastAsia="宋体" w:cs="宋体"/>
        </w:rPr>
        <w:t>2.1 评标入围：全部入围</w:t>
      </w:r>
    </w:p>
    <w:p w14:paraId="2DD1F289">
      <w:pPr>
        <w:pStyle w:val="4"/>
        <w:spacing w:line="420" w:lineRule="exact"/>
        <w:rPr>
          <w:rFonts w:ascii="宋体" w:hAnsi="宋体" w:eastAsia="宋体" w:cs="宋体"/>
        </w:rPr>
      </w:pPr>
      <w:r>
        <w:rPr>
          <w:rFonts w:hint="eastAsia" w:ascii="宋体" w:hAnsi="宋体" w:eastAsia="宋体" w:cs="宋体"/>
        </w:rPr>
        <w:t>2.2初步评审标准</w:t>
      </w:r>
      <w:bookmarkEnd w:id="43"/>
      <w:bookmarkEnd w:id="44"/>
      <w:bookmarkEnd w:id="45"/>
      <w:bookmarkEnd w:id="46"/>
      <w:bookmarkEnd w:id="47"/>
    </w:p>
    <w:p w14:paraId="6499C67C">
      <w:pPr>
        <w:autoSpaceDE w:val="0"/>
        <w:autoSpaceDN w:val="0"/>
        <w:adjustRightInd w:val="0"/>
        <w:spacing w:line="420" w:lineRule="exact"/>
        <w:ind w:firstLine="420" w:firstLineChars="200"/>
        <w:jc w:val="left"/>
        <w:rPr>
          <w:rFonts w:ascii="宋体" w:hAnsi="宋体" w:cs="宋体"/>
          <w:kern w:val="0"/>
          <w:szCs w:val="21"/>
        </w:rPr>
      </w:pPr>
      <w:r>
        <w:rPr>
          <w:rFonts w:hint="eastAsia" w:ascii="宋体" w:hAnsi="宋体" w:cs="宋体"/>
          <w:kern w:val="0"/>
          <w:szCs w:val="21"/>
        </w:rPr>
        <w:t>2.2.1 资格评审标准：见评标办法前附表。</w:t>
      </w:r>
    </w:p>
    <w:p w14:paraId="0AB7378E">
      <w:pPr>
        <w:autoSpaceDE w:val="0"/>
        <w:autoSpaceDN w:val="0"/>
        <w:adjustRightInd w:val="0"/>
        <w:spacing w:line="420" w:lineRule="exact"/>
        <w:ind w:firstLine="420" w:firstLineChars="200"/>
        <w:jc w:val="left"/>
        <w:rPr>
          <w:rFonts w:ascii="宋体" w:hAnsi="宋体" w:cs="宋体"/>
          <w:kern w:val="0"/>
          <w:szCs w:val="21"/>
        </w:rPr>
      </w:pPr>
      <w:r>
        <w:rPr>
          <w:rFonts w:hint="eastAsia" w:ascii="宋体" w:hAnsi="宋体" w:cs="宋体"/>
          <w:kern w:val="0"/>
          <w:szCs w:val="21"/>
        </w:rPr>
        <w:t>2.2.2 形式评审标准：见评标办法前附表。</w:t>
      </w:r>
    </w:p>
    <w:p w14:paraId="0ACD3696">
      <w:pPr>
        <w:autoSpaceDE w:val="0"/>
        <w:autoSpaceDN w:val="0"/>
        <w:adjustRightInd w:val="0"/>
        <w:spacing w:line="420" w:lineRule="exact"/>
        <w:ind w:firstLine="420" w:firstLineChars="200"/>
        <w:jc w:val="left"/>
        <w:rPr>
          <w:rFonts w:ascii="宋体" w:hAnsi="宋体" w:cs="宋体"/>
          <w:kern w:val="0"/>
          <w:szCs w:val="21"/>
        </w:rPr>
      </w:pPr>
      <w:r>
        <w:rPr>
          <w:rFonts w:hint="eastAsia" w:ascii="宋体" w:hAnsi="宋体" w:cs="宋体"/>
          <w:kern w:val="0"/>
          <w:szCs w:val="21"/>
        </w:rPr>
        <w:t>2.2.3 响应性评审标准：见评标办法前附表。</w:t>
      </w:r>
    </w:p>
    <w:p w14:paraId="7DFBBA9A">
      <w:pPr>
        <w:pStyle w:val="4"/>
        <w:spacing w:line="420" w:lineRule="exact"/>
        <w:rPr>
          <w:rFonts w:ascii="宋体" w:hAnsi="宋体" w:eastAsia="宋体" w:cs="宋体"/>
          <w:b/>
        </w:rPr>
      </w:pPr>
      <w:bookmarkStart w:id="48" w:name="_Toc144974570"/>
      <w:bookmarkStart w:id="49" w:name="_Toc152042380"/>
      <w:bookmarkStart w:id="50" w:name="_Toc179632621"/>
      <w:bookmarkStart w:id="51" w:name="_Toc398107891"/>
      <w:bookmarkStart w:id="52" w:name="_Toc152045603"/>
      <w:r>
        <w:rPr>
          <w:rFonts w:hint="eastAsia" w:ascii="宋体" w:hAnsi="宋体" w:eastAsia="宋体" w:cs="宋体"/>
          <w:b/>
        </w:rPr>
        <w:t>2.3 分值构成与评分标准</w:t>
      </w:r>
      <w:bookmarkEnd w:id="48"/>
      <w:bookmarkEnd w:id="49"/>
      <w:bookmarkEnd w:id="50"/>
      <w:bookmarkEnd w:id="51"/>
      <w:bookmarkEnd w:id="52"/>
    </w:p>
    <w:p w14:paraId="205B83D3">
      <w:pPr>
        <w:autoSpaceDE w:val="0"/>
        <w:autoSpaceDN w:val="0"/>
        <w:adjustRightInd w:val="0"/>
        <w:spacing w:line="420" w:lineRule="exact"/>
        <w:ind w:firstLine="420" w:firstLineChars="200"/>
        <w:jc w:val="left"/>
        <w:rPr>
          <w:rFonts w:ascii="宋体" w:hAnsi="宋体" w:cs="宋体"/>
          <w:kern w:val="0"/>
          <w:szCs w:val="21"/>
        </w:rPr>
      </w:pPr>
      <w:r>
        <w:rPr>
          <w:rFonts w:hint="eastAsia" w:ascii="宋体" w:hAnsi="宋体" w:cs="宋体"/>
          <w:kern w:val="0"/>
          <w:szCs w:val="21"/>
        </w:rPr>
        <w:t>2.3.1 分值构成：见评标办法前附表。</w:t>
      </w:r>
    </w:p>
    <w:p w14:paraId="3AC476F5">
      <w:pPr>
        <w:autoSpaceDE w:val="0"/>
        <w:autoSpaceDN w:val="0"/>
        <w:adjustRightInd w:val="0"/>
        <w:spacing w:line="420" w:lineRule="exact"/>
        <w:ind w:firstLine="420" w:firstLineChars="200"/>
        <w:jc w:val="left"/>
        <w:rPr>
          <w:rFonts w:ascii="宋体" w:hAnsi="宋体" w:cs="宋体"/>
          <w:kern w:val="0"/>
          <w:szCs w:val="21"/>
        </w:rPr>
      </w:pPr>
      <w:r>
        <w:rPr>
          <w:rFonts w:hint="eastAsia" w:ascii="宋体" w:hAnsi="宋体" w:cs="宋体"/>
          <w:kern w:val="0"/>
          <w:szCs w:val="21"/>
        </w:rPr>
        <w:t>2.3.2综合标构成：见评标办法前附表。</w:t>
      </w:r>
    </w:p>
    <w:p w14:paraId="0BDBDDE7">
      <w:pPr>
        <w:autoSpaceDE w:val="0"/>
        <w:autoSpaceDN w:val="0"/>
        <w:adjustRightInd w:val="0"/>
        <w:spacing w:line="420" w:lineRule="exact"/>
        <w:ind w:firstLine="420" w:firstLineChars="200"/>
        <w:jc w:val="left"/>
        <w:rPr>
          <w:rFonts w:ascii="宋体" w:hAnsi="宋体" w:cs="宋体"/>
          <w:kern w:val="0"/>
          <w:szCs w:val="21"/>
        </w:rPr>
      </w:pPr>
      <w:r>
        <w:rPr>
          <w:rFonts w:hint="eastAsia" w:ascii="宋体" w:hAnsi="宋体" w:cs="宋体"/>
          <w:kern w:val="0"/>
          <w:szCs w:val="21"/>
        </w:rPr>
        <w:t>2.3.3评标基准价计算</w:t>
      </w:r>
    </w:p>
    <w:p w14:paraId="4EE3EF74">
      <w:pPr>
        <w:autoSpaceDE w:val="0"/>
        <w:autoSpaceDN w:val="0"/>
        <w:adjustRightInd w:val="0"/>
        <w:spacing w:line="420" w:lineRule="exact"/>
        <w:ind w:firstLine="420" w:firstLineChars="200"/>
        <w:jc w:val="left"/>
        <w:rPr>
          <w:rFonts w:ascii="宋体" w:hAnsi="宋体" w:cs="宋体"/>
          <w:kern w:val="0"/>
          <w:szCs w:val="21"/>
        </w:rPr>
      </w:pPr>
      <w:r>
        <w:rPr>
          <w:rFonts w:hint="eastAsia" w:ascii="宋体" w:hAnsi="宋体" w:cs="宋体"/>
          <w:kern w:val="0"/>
          <w:szCs w:val="21"/>
        </w:rPr>
        <w:t>评标基准价计算方法：见评标办法前附表。</w:t>
      </w:r>
    </w:p>
    <w:p w14:paraId="041BCB03">
      <w:pPr>
        <w:pStyle w:val="3"/>
        <w:spacing w:line="420" w:lineRule="exact"/>
        <w:rPr>
          <w:rFonts w:ascii="宋体" w:hAnsi="宋体" w:eastAsia="宋体" w:cs="宋体"/>
          <w:b/>
          <w:sz w:val="28"/>
          <w:szCs w:val="28"/>
        </w:rPr>
      </w:pPr>
      <w:bookmarkStart w:id="53" w:name="_Toc398107892"/>
      <w:r>
        <w:rPr>
          <w:rFonts w:hint="eastAsia" w:ascii="宋体" w:hAnsi="宋体" w:eastAsia="宋体" w:cs="宋体"/>
          <w:b/>
          <w:sz w:val="28"/>
          <w:szCs w:val="28"/>
        </w:rPr>
        <w:t>3. 评标程序</w:t>
      </w:r>
      <w:bookmarkEnd w:id="53"/>
    </w:p>
    <w:p w14:paraId="31720364">
      <w:pPr>
        <w:pStyle w:val="4"/>
        <w:spacing w:line="420" w:lineRule="exact"/>
        <w:rPr>
          <w:rFonts w:ascii="宋体" w:hAnsi="宋体" w:eastAsia="宋体" w:cs="宋体"/>
          <w:b/>
        </w:rPr>
      </w:pPr>
      <w:bookmarkStart w:id="54" w:name="_Toc398107893"/>
      <w:r>
        <w:rPr>
          <w:rFonts w:hint="eastAsia" w:ascii="宋体" w:hAnsi="宋体" w:eastAsia="宋体" w:cs="宋体"/>
          <w:b/>
        </w:rPr>
        <w:t>3.1 评标准备</w:t>
      </w:r>
      <w:bookmarkEnd w:id="54"/>
    </w:p>
    <w:p w14:paraId="0975A226">
      <w:pPr>
        <w:autoSpaceDE w:val="0"/>
        <w:autoSpaceDN w:val="0"/>
        <w:spacing w:line="420" w:lineRule="exact"/>
        <w:ind w:firstLine="420" w:firstLineChars="200"/>
        <w:jc w:val="left"/>
        <w:rPr>
          <w:rFonts w:ascii="宋体" w:hAnsi="宋体" w:cs="宋体"/>
          <w:kern w:val="0"/>
        </w:rPr>
      </w:pPr>
      <w:r>
        <w:rPr>
          <w:rFonts w:hint="eastAsia" w:ascii="宋体" w:hAnsi="宋体" w:cs="宋体"/>
          <w:kern w:val="0"/>
        </w:rPr>
        <w:t>3.1.1 评标委员会成员到达评标现场时应在签到表上签到以证明其出席。</w:t>
      </w:r>
    </w:p>
    <w:p w14:paraId="44A92D20">
      <w:pPr>
        <w:autoSpaceDE w:val="0"/>
        <w:autoSpaceDN w:val="0"/>
        <w:spacing w:line="420" w:lineRule="exact"/>
        <w:ind w:firstLine="420" w:firstLineChars="200"/>
        <w:jc w:val="left"/>
        <w:rPr>
          <w:rFonts w:ascii="宋体" w:hAnsi="宋体" w:cs="宋体"/>
          <w:kern w:val="0"/>
        </w:rPr>
      </w:pPr>
      <w:r>
        <w:rPr>
          <w:rFonts w:hint="eastAsia" w:ascii="宋体" w:hAnsi="宋体" w:cs="宋体"/>
          <w:kern w:val="0"/>
        </w:rPr>
        <w:t>3.1.2 评标委员会成员首先推选一名评标委员会负责人，负责评标活动的组织领导工作。</w:t>
      </w:r>
    </w:p>
    <w:p w14:paraId="440C41C8">
      <w:pPr>
        <w:autoSpaceDE w:val="0"/>
        <w:autoSpaceDN w:val="0"/>
        <w:spacing w:line="420" w:lineRule="exact"/>
        <w:ind w:firstLine="420" w:firstLineChars="200"/>
        <w:jc w:val="left"/>
        <w:rPr>
          <w:rFonts w:ascii="宋体" w:hAnsi="宋体" w:cs="宋体"/>
          <w:kern w:val="0"/>
        </w:rPr>
      </w:pPr>
      <w:r>
        <w:rPr>
          <w:rFonts w:hint="eastAsia" w:ascii="宋体" w:hAnsi="宋体" w:cs="宋体"/>
          <w:kern w:val="0"/>
        </w:rPr>
        <w:t>3.1.3 招标人或招标代理机构应向评标委员会提供评标所需的信息和数据。评标委员会负责人应组织评标委员会成员认真研究招标文件，未在招标文件中规定的标准和方法不得作为评标的依据。</w:t>
      </w:r>
    </w:p>
    <w:p w14:paraId="1A91C5FD">
      <w:pPr>
        <w:pStyle w:val="4"/>
        <w:spacing w:line="420" w:lineRule="exact"/>
        <w:rPr>
          <w:rFonts w:ascii="宋体" w:hAnsi="宋体" w:eastAsia="宋体" w:cs="宋体"/>
          <w:b/>
        </w:rPr>
      </w:pPr>
      <w:bookmarkStart w:id="55" w:name="_Toc498006736"/>
      <w:r>
        <w:rPr>
          <w:rFonts w:hint="eastAsia" w:ascii="宋体" w:hAnsi="宋体" w:eastAsia="宋体" w:cs="宋体"/>
          <w:b/>
        </w:rPr>
        <w:t>3.2评标入围</w:t>
      </w:r>
      <w:bookmarkEnd w:id="55"/>
    </w:p>
    <w:p w14:paraId="161F4786">
      <w:pPr>
        <w:adjustRightInd w:val="0"/>
        <w:snapToGrid w:val="0"/>
        <w:spacing w:line="420" w:lineRule="exact"/>
        <w:ind w:firstLine="420" w:firstLineChars="200"/>
        <w:rPr>
          <w:rFonts w:ascii="宋体" w:hAnsi="宋体" w:cs="宋体"/>
        </w:rPr>
      </w:pPr>
      <w:r>
        <w:rPr>
          <w:rFonts w:hint="eastAsia" w:ascii="宋体" w:hAnsi="宋体" w:cs="宋体"/>
        </w:rPr>
        <w:t>评标委员会按本章2.1条规定的方法确定进入初步评审的投标人名单。</w:t>
      </w:r>
    </w:p>
    <w:p w14:paraId="058F1176">
      <w:pPr>
        <w:pStyle w:val="4"/>
        <w:spacing w:line="420" w:lineRule="exact"/>
        <w:rPr>
          <w:rFonts w:ascii="宋体" w:hAnsi="宋体" w:eastAsia="宋体" w:cs="宋体"/>
          <w:b/>
        </w:rPr>
      </w:pPr>
      <w:bookmarkStart w:id="56" w:name="_Toc498006737"/>
      <w:r>
        <w:rPr>
          <w:rFonts w:hint="eastAsia" w:ascii="宋体" w:hAnsi="宋体" w:eastAsia="宋体" w:cs="宋体"/>
          <w:b/>
        </w:rPr>
        <w:t>3.3初步评审</w:t>
      </w:r>
      <w:bookmarkEnd w:id="56"/>
    </w:p>
    <w:p w14:paraId="2A8937A2">
      <w:pPr>
        <w:adjustRightInd w:val="0"/>
        <w:snapToGrid w:val="0"/>
        <w:spacing w:line="420" w:lineRule="exact"/>
        <w:ind w:firstLine="420" w:firstLineChars="200"/>
        <w:rPr>
          <w:rFonts w:ascii="宋体" w:hAnsi="宋体" w:cs="宋体"/>
        </w:rPr>
      </w:pPr>
      <w:r>
        <w:rPr>
          <w:rFonts w:hint="eastAsia" w:ascii="宋体" w:hAnsi="宋体" w:cs="宋体"/>
        </w:rPr>
        <w:t>3.3.1资格评审</w:t>
      </w:r>
    </w:p>
    <w:p w14:paraId="3C289730">
      <w:pPr>
        <w:adjustRightInd w:val="0"/>
        <w:snapToGrid w:val="0"/>
        <w:spacing w:line="420" w:lineRule="exact"/>
        <w:ind w:firstLine="420" w:firstLineChars="200"/>
        <w:rPr>
          <w:rFonts w:ascii="宋体" w:hAnsi="宋体" w:cs="宋体"/>
        </w:rPr>
      </w:pPr>
      <w:r>
        <w:rPr>
          <w:rFonts w:hint="eastAsia" w:ascii="宋体" w:hAnsi="宋体" w:cs="宋体"/>
        </w:rPr>
        <w:t>评标委员会根据本章第2.2.1款列出的评审标准，</w:t>
      </w:r>
      <w:r>
        <w:rPr>
          <w:rFonts w:hint="eastAsia" w:ascii="宋体" w:hAnsi="宋体" w:cs="宋体"/>
          <w:kern w:val="0"/>
          <w:szCs w:val="21"/>
        </w:rPr>
        <w:t>有一项不符合评审标准的，作无效标处理。</w:t>
      </w:r>
    </w:p>
    <w:p w14:paraId="34F9700F">
      <w:pPr>
        <w:adjustRightInd w:val="0"/>
        <w:snapToGrid w:val="0"/>
        <w:spacing w:line="420" w:lineRule="exact"/>
        <w:ind w:firstLine="420" w:firstLineChars="200"/>
        <w:rPr>
          <w:rFonts w:ascii="宋体" w:hAnsi="宋体" w:cs="宋体"/>
        </w:rPr>
      </w:pPr>
      <w:r>
        <w:rPr>
          <w:rFonts w:hint="eastAsia" w:ascii="宋体" w:hAnsi="宋体" w:cs="宋体"/>
        </w:rPr>
        <w:t>3.3.2形式性评审</w:t>
      </w:r>
    </w:p>
    <w:p w14:paraId="0E355624">
      <w:pPr>
        <w:adjustRightInd w:val="0"/>
        <w:snapToGrid w:val="0"/>
        <w:spacing w:line="420" w:lineRule="exact"/>
        <w:ind w:firstLine="420" w:firstLineChars="200"/>
        <w:rPr>
          <w:rFonts w:ascii="宋体" w:hAnsi="宋体" w:cs="宋体"/>
        </w:rPr>
      </w:pPr>
      <w:r>
        <w:rPr>
          <w:rFonts w:hint="eastAsia" w:ascii="宋体" w:hAnsi="宋体" w:cs="宋体"/>
        </w:rPr>
        <w:t>评标委员会根据本章第2.2.2款列出的评审标准，</w:t>
      </w:r>
      <w:r>
        <w:rPr>
          <w:rFonts w:hint="eastAsia" w:ascii="宋体" w:hAnsi="宋体" w:cs="宋体"/>
          <w:kern w:val="0"/>
          <w:szCs w:val="21"/>
        </w:rPr>
        <w:t>有一项不符合评审标准的，作无效标处理。</w:t>
      </w:r>
    </w:p>
    <w:p w14:paraId="3757392F">
      <w:pPr>
        <w:adjustRightInd w:val="0"/>
        <w:snapToGrid w:val="0"/>
        <w:spacing w:line="420" w:lineRule="exact"/>
        <w:ind w:firstLine="420" w:firstLineChars="200"/>
        <w:rPr>
          <w:rFonts w:ascii="宋体" w:hAnsi="宋体" w:cs="宋体"/>
        </w:rPr>
      </w:pPr>
      <w:r>
        <w:rPr>
          <w:rFonts w:hint="eastAsia" w:ascii="宋体" w:hAnsi="宋体" w:cs="宋体"/>
        </w:rPr>
        <w:t>3.3.3响应性评审</w:t>
      </w:r>
    </w:p>
    <w:p w14:paraId="1C349DD2">
      <w:pPr>
        <w:adjustRightInd w:val="0"/>
        <w:snapToGrid w:val="0"/>
        <w:spacing w:line="420" w:lineRule="exact"/>
        <w:ind w:firstLine="420" w:firstLineChars="200"/>
        <w:rPr>
          <w:rFonts w:ascii="宋体" w:hAnsi="宋体" w:cs="宋体"/>
        </w:rPr>
      </w:pPr>
      <w:r>
        <w:rPr>
          <w:rFonts w:hint="eastAsia" w:ascii="宋体" w:hAnsi="宋体" w:cs="宋体"/>
        </w:rPr>
        <w:t>评标委员会根据本章第2.2.3款列出的评审标准，</w:t>
      </w:r>
      <w:r>
        <w:rPr>
          <w:rFonts w:hint="eastAsia" w:ascii="宋体" w:hAnsi="宋体" w:cs="宋体"/>
          <w:kern w:val="0"/>
          <w:szCs w:val="21"/>
        </w:rPr>
        <w:t>有一项不符合评审标准的，作无效标处理。</w:t>
      </w:r>
    </w:p>
    <w:p w14:paraId="5139AB57">
      <w:pPr>
        <w:spacing w:line="420" w:lineRule="exact"/>
        <w:ind w:firstLine="420" w:firstLineChars="200"/>
        <w:rPr>
          <w:rFonts w:ascii="宋体" w:hAnsi="宋体" w:cs="宋体"/>
        </w:rPr>
      </w:pPr>
      <w:r>
        <w:rPr>
          <w:rFonts w:hint="eastAsia" w:ascii="宋体" w:hAnsi="宋体" w:cs="宋体"/>
        </w:rPr>
        <w:t>3.3.4投标报价有算术错误的，评标委员会按以下原则对投标报价进行修正，修正的价格经投标人书面确认后具有约束力。投标人不接受修正价格的，评标委员会应当否决其投标。</w:t>
      </w:r>
    </w:p>
    <w:p w14:paraId="2ACE4089">
      <w:pPr>
        <w:spacing w:line="420" w:lineRule="exact"/>
        <w:ind w:firstLine="420" w:firstLineChars="200"/>
        <w:rPr>
          <w:rFonts w:ascii="宋体" w:hAnsi="宋体" w:cs="宋体"/>
        </w:rPr>
      </w:pPr>
      <w:r>
        <w:rPr>
          <w:rFonts w:hint="eastAsia" w:ascii="宋体" w:hAnsi="宋体" w:cs="宋体"/>
        </w:rPr>
        <w:t>（1）投标文件中的大写金额与小写金额不一致的，以大写金额为准；</w:t>
      </w:r>
    </w:p>
    <w:p w14:paraId="5F456933">
      <w:pPr>
        <w:spacing w:line="420" w:lineRule="exact"/>
        <w:ind w:firstLine="420" w:firstLineChars="200"/>
        <w:rPr>
          <w:rFonts w:ascii="宋体" w:hAnsi="宋体" w:cs="宋体"/>
        </w:rPr>
      </w:pPr>
      <w:r>
        <w:rPr>
          <w:rFonts w:hint="eastAsia" w:ascii="宋体" w:hAnsi="宋体" w:cs="宋体"/>
        </w:rPr>
        <w:t>（2）总价金额与依据单价计算出的结果不一致的，以单价金额为准修正总价，但单价金额小数点有明显错误、四舍五入原因的除外；</w:t>
      </w:r>
    </w:p>
    <w:p w14:paraId="4B8005DA">
      <w:pPr>
        <w:spacing w:line="420" w:lineRule="exact"/>
        <w:ind w:firstLine="420" w:firstLineChars="200"/>
        <w:rPr>
          <w:rFonts w:ascii="宋体" w:hAnsi="宋体" w:cs="宋体"/>
        </w:rPr>
      </w:pPr>
      <w:r>
        <w:rPr>
          <w:rFonts w:hint="eastAsia" w:ascii="宋体" w:hAnsi="宋体" w:cs="宋体"/>
        </w:rPr>
        <w:t>3.3.5澄清、说明或补正</w:t>
      </w:r>
    </w:p>
    <w:p w14:paraId="70340581">
      <w:pPr>
        <w:adjustRightInd w:val="0"/>
        <w:snapToGrid w:val="0"/>
        <w:spacing w:line="420" w:lineRule="exact"/>
        <w:ind w:firstLine="420" w:firstLineChars="200"/>
        <w:rPr>
          <w:rFonts w:ascii="宋体" w:hAnsi="宋体" w:cs="宋体"/>
        </w:rPr>
      </w:pPr>
      <w:r>
        <w:rPr>
          <w:rFonts w:hint="eastAsia" w:ascii="宋体" w:hAnsi="宋体" w:cs="宋体"/>
        </w:rPr>
        <w:t>在初步评审过程中，评标委员会应当就投标文件中不明确的内容要求投标人进行澄清、说明或补正，澄清、说明或补正按照本章第3.5款的规定进行。</w:t>
      </w:r>
    </w:p>
    <w:p w14:paraId="5BEF5DCE">
      <w:pPr>
        <w:spacing w:line="420" w:lineRule="exact"/>
        <w:ind w:firstLine="420" w:firstLineChars="200"/>
        <w:rPr>
          <w:rFonts w:ascii="宋体" w:hAnsi="宋体" w:cs="宋体"/>
        </w:rPr>
      </w:pPr>
      <w:r>
        <w:rPr>
          <w:rFonts w:hint="eastAsia" w:ascii="宋体" w:hAnsi="宋体" w:cs="宋体"/>
        </w:rPr>
        <w:t xml:space="preserve"> 3.3.6投标人有以下情形之一的，其投标作无效标处理：</w:t>
      </w:r>
    </w:p>
    <w:p w14:paraId="41431A0D">
      <w:pPr>
        <w:spacing w:line="420" w:lineRule="exact"/>
        <w:ind w:firstLine="420" w:firstLineChars="200"/>
        <w:rPr>
          <w:rFonts w:ascii="宋体" w:hAnsi="宋体" w:cs="宋体"/>
        </w:rPr>
      </w:pPr>
      <w:r>
        <w:rPr>
          <w:rFonts w:hint="eastAsia" w:ascii="宋体" w:hAnsi="宋体" w:cs="宋体"/>
        </w:rPr>
        <w:t>（1）第二章“投标人须知”第1.4.3项规定的任何一种情形的；</w:t>
      </w:r>
    </w:p>
    <w:p w14:paraId="75D4A92C">
      <w:pPr>
        <w:spacing w:line="420" w:lineRule="exact"/>
        <w:ind w:firstLine="420" w:firstLineChars="200"/>
        <w:rPr>
          <w:rFonts w:ascii="宋体" w:hAnsi="宋体" w:cs="宋体"/>
        </w:rPr>
      </w:pPr>
      <w:r>
        <w:rPr>
          <w:rFonts w:hint="eastAsia" w:ascii="宋体" w:hAnsi="宋体" w:cs="宋体"/>
        </w:rPr>
        <w:t>（2）以他人的名义投标、串通投标、以行贿手段谋取中标或者以其他弄虚作假方式投标的；</w:t>
      </w:r>
    </w:p>
    <w:p w14:paraId="66FBC1D1">
      <w:pPr>
        <w:spacing w:line="420" w:lineRule="exact"/>
        <w:ind w:firstLine="420" w:firstLineChars="200"/>
        <w:rPr>
          <w:rFonts w:ascii="宋体" w:hAnsi="宋体" w:cs="宋体"/>
        </w:rPr>
      </w:pPr>
      <w:r>
        <w:rPr>
          <w:rFonts w:hint="eastAsia" w:ascii="宋体" w:hAnsi="宋体" w:cs="宋体"/>
        </w:rPr>
        <w:t>（3）不同投标人的投标文件出现了评标委员会认为不应当雷同的情况的；</w:t>
      </w:r>
    </w:p>
    <w:p w14:paraId="2E0282EF">
      <w:pPr>
        <w:spacing w:line="420" w:lineRule="exact"/>
        <w:ind w:firstLine="420" w:firstLineChars="200"/>
        <w:rPr>
          <w:rFonts w:ascii="宋体" w:hAnsi="宋体" w:cs="宋体"/>
        </w:rPr>
      </w:pPr>
      <w:r>
        <w:rPr>
          <w:rFonts w:hint="eastAsia" w:ascii="宋体" w:hAnsi="宋体" w:cs="宋体"/>
        </w:rPr>
        <w:t>（4）投标人资格条件不符合国家有关规定或招标文件要求的；</w:t>
      </w:r>
    </w:p>
    <w:p w14:paraId="2ED062DF">
      <w:pPr>
        <w:adjustRightInd w:val="0"/>
        <w:snapToGrid w:val="0"/>
        <w:spacing w:line="420" w:lineRule="exact"/>
        <w:ind w:firstLine="420" w:firstLineChars="200"/>
        <w:rPr>
          <w:rFonts w:ascii="宋体" w:hAnsi="宋体" w:cs="宋体"/>
        </w:rPr>
      </w:pPr>
      <w:r>
        <w:rPr>
          <w:rFonts w:hint="eastAsia" w:ascii="宋体" w:hAnsi="宋体" w:cs="宋体"/>
        </w:rPr>
        <w:t>（5）明显不符合技术规范、技术标准的要求的；</w:t>
      </w:r>
    </w:p>
    <w:p w14:paraId="6C85EE5B">
      <w:pPr>
        <w:adjustRightInd w:val="0"/>
        <w:snapToGrid w:val="0"/>
        <w:spacing w:line="420" w:lineRule="exact"/>
        <w:ind w:firstLine="420" w:firstLineChars="200"/>
        <w:rPr>
          <w:rFonts w:ascii="宋体" w:hAnsi="宋体" w:cs="宋体"/>
        </w:rPr>
      </w:pPr>
      <w:r>
        <w:rPr>
          <w:rFonts w:hint="eastAsia" w:ascii="宋体" w:hAnsi="宋体" w:cs="宋体"/>
        </w:rPr>
        <w:t>（6）投标文件载明的货物包装方式、检验标准和方法等不符合招标文件的要求的；</w:t>
      </w:r>
    </w:p>
    <w:p w14:paraId="62698277">
      <w:pPr>
        <w:spacing w:line="420" w:lineRule="exact"/>
        <w:ind w:firstLine="420" w:firstLineChars="200"/>
        <w:rPr>
          <w:rFonts w:ascii="宋体" w:hAnsi="宋体" w:cs="宋体"/>
        </w:rPr>
      </w:pPr>
      <w:r>
        <w:rPr>
          <w:rFonts w:hint="eastAsia" w:ascii="宋体" w:hAnsi="宋体" w:cs="宋体"/>
        </w:rPr>
        <w:t>（7）投标文件提出了不能满足招标文件要求或招标人不能接受的工程验收、计量、价款结算和支付办法的；</w:t>
      </w:r>
    </w:p>
    <w:p w14:paraId="5E795116">
      <w:pPr>
        <w:spacing w:line="420" w:lineRule="exact"/>
        <w:ind w:firstLine="420" w:firstLineChars="200"/>
        <w:rPr>
          <w:rFonts w:hint="eastAsia" w:ascii="宋体" w:hAnsi="宋体" w:eastAsia="宋体" w:cs="宋体"/>
          <w:lang w:eastAsia="zh-CN"/>
        </w:rPr>
      </w:pPr>
      <w:r>
        <w:rPr>
          <w:rFonts w:hint="eastAsia" w:ascii="宋体" w:hAnsi="宋体" w:cs="宋体"/>
        </w:rPr>
        <w:t>（8）未按招标文件要求提供电子投标文件，或者投标文件未能解密且按照招标文件明确的投标文件解密失败的补救方案补救不成功的；</w:t>
      </w:r>
      <w:r>
        <w:rPr>
          <w:rFonts w:hint="eastAsia" w:ascii="宋体" w:hAnsi="宋体" w:cs="宋体"/>
          <w:lang w:eastAsia="zh-CN"/>
        </w:rPr>
        <w:t>（</w:t>
      </w:r>
      <w:r>
        <w:rPr>
          <w:rFonts w:hint="eastAsia" w:ascii="宋体" w:hAnsi="宋体" w:cs="宋体"/>
          <w:lang w:val="en-US" w:eastAsia="zh-CN"/>
        </w:rPr>
        <w:t>本项目不适合</w:t>
      </w:r>
      <w:r>
        <w:rPr>
          <w:rFonts w:hint="eastAsia" w:ascii="宋体" w:hAnsi="宋体" w:cs="宋体"/>
          <w:lang w:eastAsia="zh-CN"/>
        </w:rPr>
        <w:t>）</w:t>
      </w:r>
    </w:p>
    <w:p w14:paraId="4D1A2148">
      <w:pPr>
        <w:spacing w:line="420" w:lineRule="exact"/>
        <w:ind w:firstLine="420" w:firstLineChars="200"/>
        <w:rPr>
          <w:rFonts w:ascii="宋体" w:hAnsi="宋体" w:cs="宋体"/>
        </w:rPr>
      </w:pPr>
      <w:r>
        <w:rPr>
          <w:rFonts w:hint="eastAsia" w:ascii="宋体" w:hAnsi="宋体" w:cs="宋体"/>
        </w:rPr>
        <w:t>（9）投标文件关键内容模糊、无法辩认的；</w:t>
      </w:r>
    </w:p>
    <w:p w14:paraId="5407C20D">
      <w:pPr>
        <w:spacing w:line="420" w:lineRule="exact"/>
        <w:ind w:firstLine="525" w:firstLineChars="250"/>
        <w:rPr>
          <w:rFonts w:ascii="宋体" w:hAnsi="宋体" w:cs="宋体"/>
        </w:rPr>
      </w:pPr>
      <w:r>
        <w:rPr>
          <w:rFonts w:hint="eastAsia" w:ascii="宋体" w:hAnsi="宋体" w:cs="宋体"/>
        </w:rPr>
        <w:t>(10)投标文件中的投标函未加盖投标人的公章；</w:t>
      </w:r>
    </w:p>
    <w:p w14:paraId="09C0518B">
      <w:pPr>
        <w:spacing w:line="420" w:lineRule="exact"/>
        <w:ind w:firstLine="420" w:firstLineChars="200"/>
        <w:rPr>
          <w:rFonts w:ascii="宋体" w:hAnsi="宋体" w:cs="宋体"/>
        </w:rPr>
      </w:pPr>
      <w:r>
        <w:rPr>
          <w:rFonts w:hint="eastAsia" w:ascii="宋体" w:hAnsi="宋体" w:cs="宋体"/>
        </w:rPr>
        <w:t>（11）投标文件中的投标函未加盖企业法定代表人（或企业法定代表人委托代理人）印章（或签字）的；</w:t>
      </w:r>
    </w:p>
    <w:p w14:paraId="45DFCE9B">
      <w:pPr>
        <w:spacing w:line="420" w:lineRule="exact"/>
        <w:ind w:firstLine="420" w:firstLineChars="200"/>
        <w:rPr>
          <w:rFonts w:ascii="宋体" w:hAnsi="宋体" w:cs="宋体"/>
        </w:rPr>
      </w:pPr>
      <w:r>
        <w:rPr>
          <w:rFonts w:hint="eastAsia" w:ascii="宋体" w:hAnsi="宋体" w:cs="宋体"/>
        </w:rPr>
        <w:t xml:space="preserve">（12）如投标函加盖企业法定代表人委托代理人印章（或签字）的，企业法定代表人委托代理人没有合法、有效的委托书（原件）的； </w:t>
      </w:r>
    </w:p>
    <w:p w14:paraId="0D43BC62">
      <w:pPr>
        <w:spacing w:line="420" w:lineRule="exact"/>
        <w:ind w:firstLine="420" w:firstLineChars="200"/>
        <w:rPr>
          <w:rFonts w:ascii="宋体" w:hAnsi="宋体" w:cs="宋体"/>
        </w:rPr>
      </w:pPr>
      <w:r>
        <w:rPr>
          <w:rFonts w:hint="eastAsia" w:ascii="宋体" w:hAnsi="宋体" w:cs="宋体"/>
        </w:rPr>
        <w:t xml:space="preserve">（13）组成联合体投标未提供联合体各方共同投标协议的； </w:t>
      </w:r>
    </w:p>
    <w:p w14:paraId="43B687CF">
      <w:pPr>
        <w:spacing w:line="420" w:lineRule="exact"/>
        <w:ind w:firstLine="420" w:firstLineChars="200"/>
        <w:rPr>
          <w:rFonts w:ascii="宋体" w:hAnsi="宋体" w:cs="宋体"/>
        </w:rPr>
      </w:pPr>
      <w:r>
        <w:rPr>
          <w:rFonts w:hint="eastAsia" w:ascii="宋体" w:hAnsi="宋体" w:cs="宋体"/>
        </w:rPr>
        <w:t xml:space="preserve">（14）投标报价低于成本，高于或者等于招标文件设定的最高投标限价的； </w:t>
      </w:r>
    </w:p>
    <w:p w14:paraId="7174EE9D">
      <w:pPr>
        <w:spacing w:line="420" w:lineRule="exact"/>
        <w:ind w:firstLine="420" w:firstLineChars="200"/>
        <w:rPr>
          <w:rFonts w:ascii="宋体" w:hAnsi="宋体" w:cs="宋体"/>
        </w:rPr>
      </w:pPr>
      <w:r>
        <w:rPr>
          <w:rFonts w:hint="eastAsia" w:ascii="宋体" w:hAnsi="宋体" w:cs="宋体"/>
        </w:rPr>
        <w:t xml:space="preserve">（15）同一投标人提交两个及以上不同的投标文件或者投标报价，但招标文件要求提交备选投标的除外； </w:t>
      </w:r>
    </w:p>
    <w:p w14:paraId="70D64CD1">
      <w:pPr>
        <w:spacing w:line="420" w:lineRule="exact"/>
        <w:ind w:firstLine="420" w:firstLineChars="200"/>
        <w:rPr>
          <w:rFonts w:ascii="宋体" w:hAnsi="宋体" w:cs="宋体"/>
        </w:rPr>
      </w:pPr>
      <w:r>
        <w:rPr>
          <w:rFonts w:hint="eastAsia" w:ascii="宋体" w:hAnsi="宋体" w:cs="宋体"/>
        </w:rPr>
        <w:t>（16）与招标文件规定的暂估价、暂列金额及甲供材料价格不一致的；</w:t>
      </w:r>
    </w:p>
    <w:p w14:paraId="08CE89FE">
      <w:pPr>
        <w:spacing w:line="420" w:lineRule="exact"/>
        <w:ind w:firstLine="420" w:firstLineChars="200"/>
        <w:rPr>
          <w:rFonts w:ascii="宋体" w:hAnsi="宋体" w:cs="宋体"/>
        </w:rPr>
      </w:pPr>
      <w:r>
        <w:rPr>
          <w:rFonts w:hint="eastAsia" w:ascii="宋体" w:hAnsi="宋体" w:cs="宋体"/>
        </w:rPr>
        <w:t xml:space="preserve">（17）与招标文件明确列出的不可竞争费用项目或费率或计算基础不一致的； </w:t>
      </w:r>
    </w:p>
    <w:p w14:paraId="4A1CEB2A">
      <w:pPr>
        <w:spacing w:line="420" w:lineRule="exact"/>
        <w:ind w:firstLine="420" w:firstLineChars="200"/>
        <w:rPr>
          <w:rFonts w:ascii="宋体" w:hAnsi="宋体" w:cs="宋体"/>
        </w:rPr>
      </w:pPr>
      <w:r>
        <w:rPr>
          <w:rFonts w:hint="eastAsia" w:ascii="宋体" w:hAnsi="宋体" w:cs="宋体"/>
        </w:rPr>
        <w:t xml:space="preserve">（18）与招标文件提供的工程量清单中的项目编码、项目名称、项目特征、计量单位、工程量不一致的； </w:t>
      </w:r>
    </w:p>
    <w:p w14:paraId="7B158AE7">
      <w:pPr>
        <w:spacing w:line="420" w:lineRule="exact"/>
        <w:ind w:firstLine="420" w:firstLineChars="200"/>
        <w:rPr>
          <w:rFonts w:ascii="宋体" w:hAnsi="宋体" w:cs="宋体"/>
        </w:rPr>
      </w:pPr>
      <w:r>
        <w:rPr>
          <w:rFonts w:hint="eastAsia" w:ascii="宋体" w:hAnsi="宋体" w:cs="宋体"/>
        </w:rPr>
        <w:t xml:space="preserve">（19）未按招标文件要求提供投标保证金的； </w:t>
      </w:r>
    </w:p>
    <w:p w14:paraId="15C32B96">
      <w:pPr>
        <w:spacing w:line="420" w:lineRule="exact"/>
        <w:ind w:firstLine="420" w:firstLineChars="200"/>
        <w:rPr>
          <w:rFonts w:ascii="宋体" w:hAnsi="宋体" w:cs="宋体"/>
        </w:rPr>
      </w:pPr>
      <w:r>
        <w:rPr>
          <w:rFonts w:hint="eastAsia" w:ascii="宋体" w:hAnsi="宋体" w:cs="宋体"/>
        </w:rPr>
        <w:t xml:space="preserve">（20）投标文件载明的招标项目完成期限超过招标文件规定的期限的； </w:t>
      </w:r>
    </w:p>
    <w:p w14:paraId="28BCCB12">
      <w:pPr>
        <w:spacing w:line="420" w:lineRule="exact"/>
        <w:ind w:firstLine="420" w:firstLineChars="200"/>
        <w:rPr>
          <w:rFonts w:ascii="宋体" w:hAnsi="宋体" w:cs="宋体"/>
        </w:rPr>
      </w:pPr>
      <w:r>
        <w:rPr>
          <w:rFonts w:hint="eastAsia" w:ascii="宋体" w:hAnsi="宋体" w:cs="宋体"/>
        </w:rPr>
        <w:t>（21）不符合招标文件有关暗标的要求。</w:t>
      </w:r>
    </w:p>
    <w:p w14:paraId="77173F21">
      <w:pPr>
        <w:spacing w:line="420" w:lineRule="exact"/>
        <w:ind w:firstLine="420" w:firstLineChars="200"/>
        <w:rPr>
          <w:rFonts w:ascii="宋体" w:hAnsi="宋体" w:cs="宋体"/>
        </w:rPr>
      </w:pPr>
      <w:r>
        <w:rPr>
          <w:rFonts w:hint="eastAsia" w:ascii="宋体" w:hAnsi="宋体" w:cs="宋体"/>
        </w:rPr>
        <w:t>（22）资格审查文件中出现投标报价的。</w:t>
      </w:r>
    </w:p>
    <w:p w14:paraId="335FC05E">
      <w:pPr>
        <w:spacing w:line="420" w:lineRule="exact"/>
        <w:ind w:firstLine="420" w:firstLineChars="200"/>
        <w:rPr>
          <w:rFonts w:ascii="宋体" w:hAnsi="宋体" w:cs="宋体"/>
        </w:rPr>
      </w:pPr>
      <w:r>
        <w:rPr>
          <w:rFonts w:hint="eastAsia" w:ascii="宋体" w:hAnsi="宋体" w:cs="宋体"/>
        </w:rPr>
        <w:t>（23）招标文件中未提供《投标人诚信承诺书》的</w:t>
      </w:r>
      <w:r>
        <w:rPr>
          <w:rFonts w:hint="eastAsia"/>
        </w:rPr>
        <w:t>。</w:t>
      </w:r>
    </w:p>
    <w:p w14:paraId="29928292">
      <w:pPr>
        <w:spacing w:line="420" w:lineRule="exact"/>
        <w:ind w:firstLine="422" w:firstLineChars="200"/>
        <w:rPr>
          <w:rFonts w:ascii="宋体" w:hAnsi="宋体" w:cs="宋体"/>
          <w:sz w:val="28"/>
          <w:szCs w:val="28"/>
        </w:rPr>
      </w:pPr>
      <w:r>
        <w:rPr>
          <w:rFonts w:hint="eastAsia" w:ascii="宋体" w:hAnsi="宋体" w:cs="宋体"/>
          <w:b/>
        </w:rPr>
        <w:t>注：招标文件未集中单列的无效条款，评标委员会不得作为否决投标、判定无效标的依据。</w:t>
      </w:r>
    </w:p>
    <w:p w14:paraId="51D8B270">
      <w:pPr>
        <w:pStyle w:val="4"/>
        <w:spacing w:line="420" w:lineRule="exact"/>
        <w:rPr>
          <w:rFonts w:ascii="宋体" w:hAnsi="宋体" w:eastAsia="宋体" w:cs="宋体"/>
          <w:b/>
        </w:rPr>
      </w:pPr>
      <w:bookmarkStart w:id="57" w:name="_Toc498006738"/>
      <w:r>
        <w:rPr>
          <w:rFonts w:hint="eastAsia" w:ascii="宋体" w:hAnsi="宋体" w:eastAsia="宋体" w:cs="宋体"/>
          <w:b/>
        </w:rPr>
        <w:t>3.4详细评审</w:t>
      </w:r>
      <w:bookmarkEnd w:id="57"/>
    </w:p>
    <w:p w14:paraId="6AC69A2E">
      <w:pPr>
        <w:spacing w:line="420" w:lineRule="exact"/>
        <w:ind w:firstLine="435"/>
        <w:rPr>
          <w:rFonts w:ascii="宋体" w:hAnsi="宋体" w:cs="宋体"/>
        </w:rPr>
      </w:pPr>
      <w:r>
        <w:rPr>
          <w:rFonts w:hint="eastAsia" w:ascii="宋体" w:hAnsi="宋体" w:cs="宋体"/>
        </w:rPr>
        <w:t>3.4.1按本章第2.3.3规定的方法确定评标基准价。</w:t>
      </w:r>
    </w:p>
    <w:p w14:paraId="6F85332C">
      <w:pPr>
        <w:spacing w:line="420" w:lineRule="exact"/>
        <w:ind w:firstLine="435"/>
        <w:rPr>
          <w:rFonts w:ascii="宋体" w:hAnsi="宋体" w:cs="宋体"/>
        </w:rPr>
      </w:pPr>
      <w:r>
        <w:rPr>
          <w:rFonts w:hint="eastAsia" w:ascii="宋体" w:hAnsi="宋体" w:cs="宋体"/>
        </w:rPr>
        <w:t>3.4.2评标委员会按本章第2.3款规定的量化因素和分值进行打分，并计算出综合评估得分。</w:t>
      </w:r>
    </w:p>
    <w:p w14:paraId="19193745">
      <w:pPr>
        <w:spacing w:line="420" w:lineRule="exact"/>
        <w:ind w:firstLine="420" w:firstLineChars="200"/>
        <w:rPr>
          <w:rFonts w:ascii="宋体" w:hAnsi="宋体" w:cs="宋体"/>
        </w:rPr>
      </w:pPr>
      <w:r>
        <w:rPr>
          <w:rFonts w:hint="eastAsia" w:ascii="宋体" w:hAnsi="宋体" w:cs="宋体"/>
        </w:rPr>
        <w:t>3.4.3评分分值计算（含计算过程）保留小数点后两位，小数点后第三位“四舍五入”。</w:t>
      </w:r>
    </w:p>
    <w:p w14:paraId="29BB9E84">
      <w:pPr>
        <w:pStyle w:val="4"/>
        <w:spacing w:line="420" w:lineRule="exact"/>
        <w:rPr>
          <w:rFonts w:ascii="宋体" w:hAnsi="宋体" w:eastAsia="宋体" w:cs="宋体"/>
          <w:b/>
        </w:rPr>
      </w:pPr>
      <w:bookmarkStart w:id="58" w:name="_Toc498006739"/>
      <w:r>
        <w:rPr>
          <w:rFonts w:hint="eastAsia" w:ascii="宋体" w:hAnsi="宋体" w:eastAsia="宋体" w:cs="宋体"/>
          <w:b/>
        </w:rPr>
        <w:t>3.5投标文件的澄清和补正</w:t>
      </w:r>
      <w:bookmarkEnd w:id="58"/>
    </w:p>
    <w:p w14:paraId="05AEC2D0">
      <w:pPr>
        <w:spacing w:line="420" w:lineRule="exact"/>
        <w:ind w:firstLine="420" w:firstLineChars="200"/>
        <w:rPr>
          <w:rFonts w:ascii="宋体" w:hAnsi="宋体" w:cs="宋体"/>
        </w:rPr>
      </w:pPr>
      <w:r>
        <w:rPr>
          <w:rFonts w:hint="eastAsia" w:ascii="宋体" w:hAnsi="宋体" w:cs="宋体"/>
        </w:rPr>
        <w:t>3.5.1在评标过程中，评标委员会应当以书面形式要求投标人对所提交的投标文件中不明确的内容进行书面澄清或说明。评标委员会不接受投标人主动提出的澄清、说明或补正。</w:t>
      </w:r>
    </w:p>
    <w:p w14:paraId="6585CBC6">
      <w:pPr>
        <w:spacing w:line="420" w:lineRule="exact"/>
        <w:ind w:firstLine="420" w:firstLineChars="200"/>
        <w:rPr>
          <w:rFonts w:ascii="宋体" w:hAnsi="宋体" w:cs="宋体"/>
        </w:rPr>
      </w:pPr>
      <w:r>
        <w:rPr>
          <w:rFonts w:hint="eastAsia" w:ascii="宋体" w:hAnsi="宋体" w:cs="宋体"/>
        </w:rPr>
        <w:t>3.5.2 澄清、说明和补正不得改变投标文件的实质性内容。投标人的书面澄清、说明和补正属于投标文件的组成部分。</w:t>
      </w:r>
    </w:p>
    <w:p w14:paraId="1AF3411D">
      <w:pPr>
        <w:spacing w:line="420" w:lineRule="exact"/>
        <w:ind w:firstLine="420" w:firstLineChars="200"/>
        <w:rPr>
          <w:rFonts w:ascii="宋体" w:hAnsi="宋体" w:cs="宋体"/>
        </w:rPr>
      </w:pPr>
      <w:r>
        <w:rPr>
          <w:rFonts w:hint="eastAsia" w:ascii="宋体" w:hAnsi="宋体" w:cs="宋体"/>
        </w:rPr>
        <w:t>3.5.3 评标委员会对投标人提交的澄清、说明或补正有疑问的，可以要求投标人进一步澄清、说明或补正，直至满足评标委员会的要求。</w:t>
      </w:r>
    </w:p>
    <w:p w14:paraId="39B1D8C7">
      <w:pPr>
        <w:spacing w:line="420" w:lineRule="exact"/>
        <w:ind w:firstLine="420" w:firstLineChars="200"/>
        <w:rPr>
          <w:rFonts w:ascii="宋体" w:hAnsi="宋体" w:cs="宋体"/>
        </w:rPr>
      </w:pPr>
      <w:r>
        <w:rPr>
          <w:rFonts w:hint="eastAsia" w:ascii="宋体" w:hAnsi="宋体" w:cs="宋体"/>
        </w:rPr>
        <w:t>3.5.4 在评标过程中，评标委员会发现投标人的报价明显低于其他投标报价，使得其投标报价可能低于其个别成本的，</w:t>
      </w:r>
      <w:r>
        <w:rPr>
          <w:rFonts w:hint="eastAsia" w:ascii="宋体" w:hAnsi="宋体" w:cs="宋体"/>
          <w:szCs w:val="22"/>
        </w:rPr>
        <w:t>有可能影响质量或者不能诚信履约的，应当要求其在评标现场合理的时间内提供书面说明</w:t>
      </w:r>
      <w:r>
        <w:rPr>
          <w:rFonts w:hint="eastAsia" w:ascii="宋体" w:hAnsi="宋体" w:cs="宋体"/>
        </w:rPr>
        <w:t>并提供相关证明材料。投标人不能合理说明或者不能提供相关证明材料的，评标委员会应当否决其投标。</w:t>
      </w:r>
    </w:p>
    <w:p w14:paraId="5F6A82B3">
      <w:pPr>
        <w:pStyle w:val="4"/>
        <w:spacing w:line="420" w:lineRule="exact"/>
        <w:rPr>
          <w:rFonts w:ascii="宋体" w:hAnsi="宋体" w:eastAsia="宋体" w:cs="宋体"/>
          <w:b/>
        </w:rPr>
      </w:pPr>
      <w:bookmarkStart w:id="59" w:name="_Toc498006740"/>
      <w:r>
        <w:rPr>
          <w:rFonts w:hint="eastAsia" w:ascii="宋体" w:hAnsi="宋体" w:eastAsia="宋体" w:cs="宋体"/>
          <w:b/>
        </w:rPr>
        <w:t>3.6推荐中标候选人</w:t>
      </w:r>
      <w:bookmarkEnd w:id="59"/>
    </w:p>
    <w:p w14:paraId="1846A038">
      <w:pPr>
        <w:spacing w:line="420" w:lineRule="exact"/>
        <w:ind w:firstLine="420" w:firstLineChars="200"/>
        <w:rPr>
          <w:rFonts w:ascii="宋体" w:hAnsi="宋体" w:cs="宋体"/>
        </w:rPr>
      </w:pPr>
      <w:r>
        <w:rPr>
          <w:rFonts w:hint="eastAsia" w:ascii="宋体" w:hAnsi="宋体" w:cs="宋体"/>
        </w:rPr>
        <w:t>评标委员会在推荐中标候选人时，应遵照以下原则:</w:t>
      </w:r>
    </w:p>
    <w:p w14:paraId="574A903F">
      <w:pPr>
        <w:spacing w:line="420" w:lineRule="exact"/>
        <w:ind w:firstLine="420" w:firstLineChars="200"/>
        <w:rPr>
          <w:rFonts w:ascii="宋体" w:hAnsi="宋体" w:cs="宋体"/>
        </w:rPr>
      </w:pPr>
      <w:r>
        <w:rPr>
          <w:rFonts w:hint="eastAsia" w:ascii="宋体" w:hAnsi="宋体" w:cs="宋体"/>
        </w:rPr>
        <w:t>3.6.1评标委员会按照最终得分由高至低的次序排列，推荐1-3名中标候选人。若“四舍五入”后出现得分相同且影响中标候选人排名时，则现场抽签确定。</w:t>
      </w:r>
    </w:p>
    <w:p w14:paraId="62BB5C5F">
      <w:pPr>
        <w:spacing w:line="420" w:lineRule="exact"/>
        <w:ind w:firstLine="420" w:firstLineChars="200"/>
        <w:rPr>
          <w:rFonts w:ascii="宋体" w:hAnsi="宋体" w:cs="宋体"/>
        </w:rPr>
      </w:pPr>
      <w:r>
        <w:rPr>
          <w:rFonts w:hint="eastAsia" w:ascii="宋体" w:hAnsi="宋体" w:cs="宋体"/>
        </w:rPr>
        <w:t>3.6.2如果评标委员会根据本章的规定作无效标处理后，有效投标不足三个，评标委员会应当对是否具有竞争性进行判断：有竞争性的，按有效投标最终得分由高至低的次序推荐中标候选人；缺乏竞争的，评标委员会应当否决全部投标。</w:t>
      </w:r>
    </w:p>
    <w:p w14:paraId="4D30D9A4">
      <w:pPr>
        <w:spacing w:line="420" w:lineRule="exact"/>
        <w:ind w:firstLine="420" w:firstLineChars="200"/>
        <w:rPr>
          <w:rFonts w:ascii="宋体" w:hAnsi="宋体" w:cs="宋体"/>
        </w:rPr>
      </w:pPr>
      <w:r>
        <w:rPr>
          <w:rFonts w:hint="eastAsia" w:ascii="宋体" w:hAnsi="宋体" w:cs="宋体"/>
        </w:rPr>
        <w:t>3.6.3 评标委员会完成评标后，应当向招标人提交评标报告。</w:t>
      </w:r>
      <w:bookmarkEnd w:id="28"/>
      <w:bookmarkEnd w:id="29"/>
      <w:bookmarkEnd w:id="30"/>
      <w:bookmarkEnd w:id="31"/>
    </w:p>
    <w:p w14:paraId="39B49B47">
      <w:pPr>
        <w:spacing w:line="420" w:lineRule="exact"/>
        <w:ind w:firstLine="420" w:firstLineChars="200"/>
        <w:rPr>
          <w:rFonts w:ascii="宋体" w:hAnsi="宋体" w:cs="宋体"/>
        </w:rPr>
      </w:pPr>
    </w:p>
    <w:p w14:paraId="48EB3775">
      <w:pPr>
        <w:spacing w:line="420" w:lineRule="exact"/>
        <w:ind w:firstLine="420" w:firstLineChars="200"/>
        <w:rPr>
          <w:rFonts w:ascii="宋体" w:hAnsi="宋体" w:cs="宋体"/>
          <w:kern w:val="0"/>
          <w:szCs w:val="21"/>
        </w:rPr>
      </w:pPr>
    </w:p>
    <w:p w14:paraId="441AEDD8">
      <w:pPr>
        <w:pStyle w:val="8"/>
        <w:rPr>
          <w:rFonts w:ascii="宋体" w:hAnsi="宋体" w:cs="宋体"/>
          <w:kern w:val="0"/>
          <w:szCs w:val="21"/>
        </w:rPr>
      </w:pPr>
    </w:p>
    <w:p w14:paraId="02F02E27">
      <w:pPr>
        <w:pStyle w:val="30"/>
      </w:pPr>
    </w:p>
    <w:p w14:paraId="63FF4CBB">
      <w:pPr>
        <w:pStyle w:val="2"/>
        <w:spacing w:line="440" w:lineRule="exact"/>
        <w:jc w:val="center"/>
        <w:rPr>
          <w:rFonts w:ascii="宋体" w:hAnsi="宋体" w:cs="宋体"/>
          <w:b w:val="0"/>
          <w:kern w:val="2"/>
          <w:sz w:val="32"/>
          <w:szCs w:val="32"/>
        </w:rPr>
      </w:pPr>
      <w:bookmarkStart w:id="60" w:name="_Toc398107898"/>
      <w:r>
        <w:rPr>
          <w:rFonts w:hint="eastAsia" w:ascii="宋体" w:hAnsi="宋体" w:cs="宋体"/>
          <w:b w:val="0"/>
          <w:kern w:val="2"/>
          <w:sz w:val="32"/>
          <w:szCs w:val="32"/>
        </w:rPr>
        <w:t>第四章 合同条款及格式</w:t>
      </w:r>
      <w:bookmarkEnd w:id="60"/>
    </w:p>
    <w:p w14:paraId="11FECD40">
      <w:pPr>
        <w:keepNext/>
        <w:keepLines/>
        <w:spacing w:line="360" w:lineRule="auto"/>
        <w:jc w:val="center"/>
        <w:outlineLvl w:val="1"/>
        <w:rPr>
          <w:rFonts w:ascii="宋体" w:hAnsi="宋体" w:cs="宋体"/>
          <w:bCs/>
          <w:sz w:val="32"/>
          <w:szCs w:val="32"/>
        </w:rPr>
      </w:pPr>
      <w:bookmarkStart w:id="61" w:name="_Toc398107899"/>
      <w:r>
        <w:rPr>
          <w:rFonts w:hint="eastAsia" w:ascii="宋体" w:hAnsi="宋体" w:cs="宋体"/>
          <w:bCs/>
          <w:sz w:val="32"/>
          <w:szCs w:val="32"/>
        </w:rPr>
        <w:t>第一部分  协议书</w:t>
      </w:r>
      <w:bookmarkEnd w:id="61"/>
    </w:p>
    <w:p w14:paraId="33606756">
      <w:pPr>
        <w:spacing w:line="440" w:lineRule="exact"/>
        <w:ind w:firstLine="420" w:firstLineChars="200"/>
        <w:rPr>
          <w:rFonts w:ascii="宋体" w:hAnsi="宋体" w:cs="宋体"/>
        </w:rPr>
      </w:pPr>
      <w:r>
        <w:rPr>
          <w:rFonts w:hint="eastAsia" w:ascii="宋体" w:hAnsi="宋体" w:cs="宋体"/>
        </w:rPr>
        <w:t>委托人（全称）：</w:t>
      </w:r>
    </w:p>
    <w:p w14:paraId="255A7F99">
      <w:pPr>
        <w:spacing w:line="440" w:lineRule="exact"/>
        <w:ind w:firstLine="420" w:firstLineChars="200"/>
        <w:rPr>
          <w:rFonts w:ascii="宋体" w:hAnsi="宋体" w:cs="宋体"/>
          <w:u w:val="single"/>
        </w:rPr>
      </w:pPr>
      <w:r>
        <w:rPr>
          <w:rFonts w:hint="eastAsia" w:ascii="宋体" w:hAnsi="宋体" w:cs="宋体"/>
        </w:rPr>
        <w:t>监理人（全称）：</w:t>
      </w:r>
    </w:p>
    <w:p w14:paraId="206DFE06">
      <w:pPr>
        <w:spacing w:line="480" w:lineRule="exact"/>
        <w:ind w:firstLine="420" w:firstLineChars="200"/>
        <w:rPr>
          <w:rFonts w:ascii="宋体" w:hAnsi="宋体" w:cs="宋体"/>
          <w:szCs w:val="21"/>
        </w:rPr>
      </w:pPr>
      <w:r>
        <w:rPr>
          <w:rFonts w:hint="eastAsia" w:ascii="宋体" w:hAnsi="宋体" w:cs="宋体"/>
        </w:rPr>
        <w:t>根据《中华人民共和国民法典》、《中华人民共和国建筑法》及其他有关法律、法规，遵循平等、自愿、公平和诚信的原则，双方就下述工程委托监理与相关服务事项协商一致，订立本合同。</w:t>
      </w:r>
    </w:p>
    <w:p w14:paraId="7FB2B8F2">
      <w:pPr>
        <w:keepNext/>
        <w:keepLines/>
        <w:spacing w:line="440" w:lineRule="exact"/>
        <w:ind w:firstLine="480" w:firstLineChars="200"/>
        <w:outlineLvl w:val="2"/>
        <w:rPr>
          <w:rFonts w:ascii="宋体" w:hAnsi="宋体" w:cs="宋体"/>
          <w:kern w:val="0"/>
          <w:sz w:val="24"/>
          <w:szCs w:val="32"/>
        </w:rPr>
      </w:pPr>
      <w:r>
        <w:rPr>
          <w:rFonts w:hint="eastAsia" w:ascii="宋体" w:hAnsi="宋体" w:cs="宋体"/>
          <w:kern w:val="0"/>
          <w:sz w:val="24"/>
          <w:szCs w:val="32"/>
        </w:rPr>
        <w:t>一、工程概况</w:t>
      </w:r>
    </w:p>
    <w:p w14:paraId="4AC26ADE">
      <w:pPr>
        <w:snapToGrid w:val="0"/>
        <w:spacing w:line="440" w:lineRule="exact"/>
        <w:ind w:firstLine="420" w:firstLineChars="200"/>
        <w:jc w:val="left"/>
        <w:rPr>
          <w:rFonts w:cs="宋体" w:asciiTheme="minorEastAsia" w:hAnsiTheme="minorEastAsia" w:eastAsiaTheme="minorEastAsia"/>
          <w:u w:val="single"/>
        </w:rPr>
      </w:pPr>
      <w:r>
        <w:rPr>
          <w:rFonts w:hint="eastAsia" w:ascii="宋体" w:hAnsi="宋体" w:cs="宋体"/>
        </w:rPr>
        <w:t>1. 工程名称：</w:t>
      </w:r>
      <w:r>
        <w:rPr>
          <w:rFonts w:hint="eastAsia" w:cs="宋体" w:asciiTheme="minorEastAsia" w:hAnsiTheme="minorEastAsia" w:eastAsiaTheme="minorEastAsia"/>
          <w:u w:val="single"/>
        </w:rPr>
        <w:t>希望大桥北岸供电杆线迁改工程及2026年新建小区外线接入工程（庆园、隐湖别苑、云和锦上花园）等项目供电监理</w:t>
      </w:r>
    </w:p>
    <w:p w14:paraId="3B9F9198">
      <w:pPr>
        <w:adjustRightInd w:val="0"/>
        <w:snapToGrid w:val="0"/>
        <w:spacing w:line="400" w:lineRule="exact"/>
        <w:ind w:firstLine="420" w:firstLineChars="200"/>
        <w:rPr>
          <w:rFonts w:ascii="宋体" w:hAnsi="宋体" w:cs="宋体"/>
        </w:rPr>
      </w:pPr>
      <w:r>
        <w:rPr>
          <w:rFonts w:hint="eastAsia" w:ascii="宋体" w:hAnsi="宋体" w:cs="宋体"/>
        </w:rPr>
        <w:t>2. 工程地点：</w:t>
      </w:r>
      <w:r>
        <w:rPr>
          <w:rFonts w:hint="eastAsia" w:cs="宋体" w:asciiTheme="minorEastAsia" w:hAnsiTheme="minorEastAsia" w:eastAsiaTheme="minorEastAsia"/>
          <w:u w:val="single"/>
        </w:rPr>
        <w:t>南通市通州区</w:t>
      </w:r>
      <w:r>
        <w:rPr>
          <w:rFonts w:hint="eastAsia" w:ascii="宋体" w:hAnsi="宋体" w:cs="宋体"/>
        </w:rPr>
        <w:t>；</w:t>
      </w:r>
    </w:p>
    <w:p w14:paraId="25DBDA52">
      <w:pPr>
        <w:adjustRightInd w:val="0"/>
        <w:snapToGrid w:val="0"/>
        <w:spacing w:line="380" w:lineRule="exact"/>
        <w:ind w:firstLine="420" w:firstLineChars="200"/>
        <w:rPr>
          <w:rFonts w:cs="宋体" w:asciiTheme="minorEastAsia" w:hAnsiTheme="minorEastAsia" w:eastAsiaTheme="minorEastAsia"/>
          <w:u w:val="single"/>
        </w:rPr>
      </w:pPr>
      <w:r>
        <w:rPr>
          <w:rFonts w:hint="eastAsia" w:ascii="宋体" w:hAnsi="宋体" w:cs="宋体"/>
        </w:rPr>
        <w:t>3. 工程规模：</w:t>
      </w:r>
      <w:r>
        <w:rPr>
          <w:rFonts w:hint="eastAsia" w:cs="宋体" w:asciiTheme="minorEastAsia" w:hAnsiTheme="minorEastAsia" w:eastAsiaTheme="minorEastAsia"/>
          <w:u w:val="single"/>
        </w:rPr>
        <w:t>希望大桥北岸供电杆线迁改工程及2026年新建小区外线接入工程（庆园、隐湖别苑、云和锦上花园）等项目</w:t>
      </w:r>
    </w:p>
    <w:p w14:paraId="584B5C15">
      <w:pPr>
        <w:adjustRightInd w:val="0"/>
        <w:snapToGrid w:val="0"/>
        <w:spacing w:line="420" w:lineRule="exact"/>
        <w:ind w:firstLine="420" w:firstLineChars="200"/>
        <w:rPr>
          <w:rFonts w:ascii="宋体" w:hAnsi="宋体" w:cs="宋体"/>
        </w:rPr>
      </w:pPr>
      <w:r>
        <w:rPr>
          <w:rFonts w:hint="eastAsia" w:ascii="宋体" w:hAnsi="宋体" w:cs="宋体"/>
        </w:rPr>
        <w:t>4. 工程概算投资额：</w:t>
      </w:r>
      <w:r>
        <w:rPr>
          <w:rFonts w:hint="eastAsia" w:ascii="宋体" w:hAnsi="宋体" w:cs="宋体"/>
          <w:szCs w:val="21"/>
        </w:rPr>
        <w:t>人民币</w:t>
      </w:r>
      <w:r>
        <w:rPr>
          <w:rFonts w:hint="eastAsia" w:ascii="宋体" w:hAnsi="宋体" w:cs="宋体"/>
          <w:szCs w:val="21"/>
          <w:u w:val="single"/>
          <w:lang w:val="en-US" w:eastAsia="zh-CN"/>
        </w:rPr>
        <w:t xml:space="preserve">     </w:t>
      </w:r>
      <w:r>
        <w:rPr>
          <w:rFonts w:hint="eastAsia" w:ascii="宋体" w:hAnsi="宋体" w:cs="宋体"/>
          <w:szCs w:val="21"/>
        </w:rPr>
        <w:t>万元；</w:t>
      </w:r>
    </w:p>
    <w:p w14:paraId="69282B98">
      <w:pPr>
        <w:spacing w:line="420" w:lineRule="exact"/>
        <w:ind w:firstLine="437"/>
        <w:rPr>
          <w:rFonts w:ascii="宋体" w:hAnsi="宋体" w:cs="宋体"/>
        </w:rPr>
      </w:pPr>
      <w:r>
        <w:rPr>
          <w:rFonts w:hint="eastAsia" w:ascii="宋体" w:hAnsi="宋体" w:cs="宋体"/>
        </w:rPr>
        <w:t>5. 招标范围：</w:t>
      </w:r>
      <w:r>
        <w:rPr>
          <w:rFonts w:hint="eastAsia" w:ascii="宋体" w:hAnsi="宋体" w:cs="宋体"/>
          <w:kern w:val="0"/>
          <w:szCs w:val="21"/>
        </w:rPr>
        <w:t>包括但不限于：</w:t>
      </w:r>
    </w:p>
    <w:p w14:paraId="287CFAF6">
      <w:pPr>
        <w:spacing w:line="420" w:lineRule="exact"/>
        <w:ind w:firstLine="437"/>
        <w:rPr>
          <w:rFonts w:ascii="宋体" w:hAnsi="宋体" w:cs="宋体"/>
        </w:rPr>
      </w:pPr>
      <w:r>
        <w:rPr>
          <w:rFonts w:hint="eastAsia" w:ascii="宋体" w:hAnsi="宋体" w:cs="宋体"/>
          <w:color w:val="000000" w:themeColor="text1"/>
          <w:szCs w:val="21"/>
        </w:rPr>
        <w:t>（1）项目施工及保修阶段监理；</w:t>
      </w:r>
    </w:p>
    <w:p w14:paraId="181AF526">
      <w:pPr>
        <w:spacing w:line="440" w:lineRule="exact"/>
        <w:ind w:firstLine="420" w:firstLineChars="200"/>
        <w:rPr>
          <w:rFonts w:ascii="宋体" w:hAnsi="宋体" w:cs="宋体"/>
        </w:rPr>
      </w:pPr>
      <w:r>
        <w:rPr>
          <w:rFonts w:hint="eastAsia" w:ascii="宋体" w:hAnsi="宋体" w:cs="宋体"/>
          <w:color w:val="000000" w:themeColor="text1"/>
          <w:szCs w:val="21"/>
        </w:rPr>
        <w:t>（2）其它与工程有关的必不可少的配套项目（含材料设备的采购等）的监理。</w:t>
      </w:r>
    </w:p>
    <w:p w14:paraId="0B188AA4">
      <w:pPr>
        <w:keepNext/>
        <w:keepLines/>
        <w:spacing w:line="440" w:lineRule="exact"/>
        <w:ind w:firstLine="480" w:firstLineChars="200"/>
        <w:outlineLvl w:val="2"/>
        <w:rPr>
          <w:rFonts w:ascii="宋体" w:hAnsi="宋体" w:cs="宋体"/>
          <w:kern w:val="0"/>
          <w:sz w:val="24"/>
          <w:szCs w:val="32"/>
        </w:rPr>
      </w:pPr>
      <w:r>
        <w:rPr>
          <w:rFonts w:hint="eastAsia" w:ascii="宋体" w:hAnsi="宋体" w:cs="宋体"/>
          <w:kern w:val="0"/>
          <w:sz w:val="24"/>
          <w:szCs w:val="32"/>
        </w:rPr>
        <w:t>二、词语限定</w:t>
      </w:r>
    </w:p>
    <w:p w14:paraId="13DAE91A">
      <w:pPr>
        <w:spacing w:line="440" w:lineRule="exact"/>
        <w:ind w:firstLine="420" w:firstLineChars="200"/>
        <w:rPr>
          <w:rFonts w:ascii="宋体" w:hAnsi="宋体" w:cs="宋体"/>
        </w:rPr>
      </w:pPr>
      <w:r>
        <w:rPr>
          <w:rFonts w:hint="eastAsia" w:ascii="宋体" w:hAnsi="宋体" w:cs="宋体"/>
        </w:rPr>
        <w:t>协议书中相关词语的含义与通用条件中的定义与解释相同。</w:t>
      </w:r>
    </w:p>
    <w:p w14:paraId="6F04748B">
      <w:pPr>
        <w:keepNext/>
        <w:keepLines/>
        <w:spacing w:line="440" w:lineRule="exact"/>
        <w:ind w:firstLine="480" w:firstLineChars="200"/>
        <w:outlineLvl w:val="2"/>
        <w:rPr>
          <w:rFonts w:ascii="宋体" w:hAnsi="宋体" w:cs="宋体"/>
          <w:kern w:val="0"/>
          <w:sz w:val="24"/>
          <w:szCs w:val="32"/>
        </w:rPr>
      </w:pPr>
      <w:r>
        <w:rPr>
          <w:rFonts w:hint="eastAsia" w:ascii="宋体" w:hAnsi="宋体" w:cs="宋体"/>
          <w:kern w:val="0"/>
          <w:sz w:val="24"/>
          <w:szCs w:val="32"/>
        </w:rPr>
        <w:t>三、组成本合同的文件</w:t>
      </w:r>
    </w:p>
    <w:p w14:paraId="075A59BF">
      <w:pPr>
        <w:spacing w:line="440" w:lineRule="exact"/>
        <w:ind w:firstLine="420" w:firstLineChars="200"/>
        <w:rPr>
          <w:rFonts w:ascii="宋体" w:hAnsi="宋体" w:cs="宋体"/>
        </w:rPr>
      </w:pPr>
      <w:r>
        <w:rPr>
          <w:rFonts w:hint="eastAsia" w:ascii="宋体" w:hAnsi="宋体" w:cs="宋体"/>
        </w:rPr>
        <w:t>1. 协议书；</w:t>
      </w:r>
    </w:p>
    <w:p w14:paraId="088828D5">
      <w:pPr>
        <w:spacing w:line="440" w:lineRule="exact"/>
        <w:ind w:firstLine="420" w:firstLineChars="200"/>
        <w:rPr>
          <w:rFonts w:ascii="宋体" w:hAnsi="宋体" w:cs="宋体"/>
        </w:rPr>
      </w:pPr>
      <w:r>
        <w:rPr>
          <w:rFonts w:hint="eastAsia" w:ascii="宋体" w:hAnsi="宋体" w:cs="宋体"/>
        </w:rPr>
        <w:t>2. 中标通知书；</w:t>
      </w:r>
    </w:p>
    <w:p w14:paraId="0CD67777">
      <w:pPr>
        <w:spacing w:line="440" w:lineRule="exact"/>
        <w:ind w:firstLine="420" w:firstLineChars="200"/>
        <w:rPr>
          <w:rFonts w:ascii="宋体" w:hAnsi="宋体" w:cs="宋体"/>
        </w:rPr>
      </w:pPr>
      <w:r>
        <w:rPr>
          <w:rFonts w:hint="eastAsia" w:ascii="宋体" w:hAnsi="宋体" w:cs="宋体"/>
        </w:rPr>
        <w:t>3.招标文件及澄清</w:t>
      </w:r>
    </w:p>
    <w:p w14:paraId="3DD37501">
      <w:pPr>
        <w:spacing w:line="440" w:lineRule="exact"/>
        <w:ind w:firstLine="420" w:firstLineChars="200"/>
        <w:rPr>
          <w:rFonts w:ascii="宋体" w:hAnsi="宋体" w:cs="宋体"/>
        </w:rPr>
      </w:pPr>
      <w:r>
        <w:rPr>
          <w:rFonts w:hint="eastAsia" w:ascii="宋体" w:hAnsi="宋体" w:cs="宋体"/>
        </w:rPr>
        <w:t>4. 投标文件；</w:t>
      </w:r>
    </w:p>
    <w:p w14:paraId="5FCFA21A">
      <w:pPr>
        <w:spacing w:line="440" w:lineRule="exact"/>
        <w:ind w:firstLine="420" w:firstLineChars="200"/>
        <w:rPr>
          <w:rFonts w:ascii="宋体" w:hAnsi="宋体" w:cs="宋体"/>
        </w:rPr>
      </w:pPr>
      <w:r>
        <w:rPr>
          <w:rFonts w:hint="eastAsia" w:ascii="宋体" w:hAnsi="宋体" w:cs="宋体"/>
        </w:rPr>
        <w:t>5. 专用条件；</w:t>
      </w:r>
    </w:p>
    <w:p w14:paraId="79A77EA4">
      <w:pPr>
        <w:spacing w:line="440" w:lineRule="exact"/>
        <w:ind w:firstLine="420" w:firstLineChars="200"/>
        <w:rPr>
          <w:rFonts w:ascii="宋体" w:hAnsi="宋体" w:cs="宋体"/>
        </w:rPr>
      </w:pPr>
      <w:r>
        <w:rPr>
          <w:rFonts w:hint="eastAsia" w:ascii="宋体" w:hAnsi="宋体" w:cs="宋体"/>
        </w:rPr>
        <w:t>6. 通用条件；</w:t>
      </w:r>
    </w:p>
    <w:p w14:paraId="1A83ECEE">
      <w:pPr>
        <w:spacing w:line="440" w:lineRule="exact"/>
        <w:ind w:firstLine="420" w:firstLineChars="200"/>
        <w:rPr>
          <w:rFonts w:ascii="宋体" w:hAnsi="宋体" w:cs="宋体"/>
        </w:rPr>
      </w:pPr>
      <w:r>
        <w:rPr>
          <w:rFonts w:hint="eastAsia" w:ascii="宋体" w:hAnsi="宋体" w:cs="宋体"/>
        </w:rPr>
        <w:t>7. 附录,即：附录A  相关服务的范围和内容    附录B  委托人派遣的人员和提供的房屋、资料、设备</w:t>
      </w:r>
    </w:p>
    <w:p w14:paraId="60B26C26">
      <w:pPr>
        <w:spacing w:line="440" w:lineRule="exact"/>
        <w:ind w:firstLine="420" w:firstLineChars="200"/>
        <w:rPr>
          <w:rFonts w:ascii="宋体" w:hAnsi="宋体" w:cs="宋体"/>
        </w:rPr>
      </w:pPr>
      <w:r>
        <w:rPr>
          <w:rFonts w:hint="eastAsia" w:ascii="宋体" w:hAnsi="宋体" w:cs="宋体"/>
        </w:rPr>
        <w:t>本合同签订后，双方依法签订的补充协议也是本合同文件的组成部分。</w:t>
      </w:r>
    </w:p>
    <w:p w14:paraId="292773AE">
      <w:pPr>
        <w:keepNext/>
        <w:keepLines/>
        <w:spacing w:line="440" w:lineRule="exact"/>
        <w:ind w:firstLine="480" w:firstLineChars="200"/>
        <w:outlineLvl w:val="2"/>
        <w:rPr>
          <w:rFonts w:ascii="宋体" w:hAnsi="宋体" w:cs="宋体"/>
          <w:kern w:val="0"/>
          <w:sz w:val="24"/>
          <w:szCs w:val="32"/>
        </w:rPr>
      </w:pPr>
      <w:r>
        <w:rPr>
          <w:rFonts w:hint="eastAsia" w:ascii="宋体" w:hAnsi="宋体" w:cs="宋体"/>
          <w:kern w:val="0"/>
          <w:sz w:val="24"/>
          <w:szCs w:val="32"/>
        </w:rPr>
        <w:t>四、总监理工程师</w:t>
      </w:r>
    </w:p>
    <w:p w14:paraId="7363B553">
      <w:pPr>
        <w:spacing w:line="440" w:lineRule="exact"/>
        <w:ind w:firstLine="420" w:firstLineChars="200"/>
        <w:rPr>
          <w:rFonts w:ascii="宋体" w:hAnsi="宋体" w:cs="宋体"/>
        </w:rPr>
      </w:pPr>
      <w:r>
        <w:rPr>
          <w:rFonts w:hint="eastAsia" w:ascii="宋体" w:hAnsi="宋体" w:cs="宋体"/>
        </w:rPr>
        <w:t>总监理工程师姓名：，身份证号码：，注册号：。</w:t>
      </w:r>
    </w:p>
    <w:p w14:paraId="624CFE90">
      <w:pPr>
        <w:keepNext/>
        <w:keepLines/>
        <w:spacing w:line="440" w:lineRule="exact"/>
        <w:ind w:firstLine="480" w:firstLineChars="200"/>
        <w:outlineLvl w:val="2"/>
        <w:rPr>
          <w:rFonts w:ascii="宋体" w:hAnsi="宋体" w:cs="宋体"/>
          <w:kern w:val="0"/>
          <w:sz w:val="24"/>
          <w:szCs w:val="32"/>
        </w:rPr>
      </w:pPr>
      <w:r>
        <w:rPr>
          <w:rFonts w:hint="eastAsia" w:ascii="宋体" w:hAnsi="宋体" w:cs="宋体"/>
          <w:kern w:val="0"/>
          <w:sz w:val="24"/>
          <w:szCs w:val="32"/>
        </w:rPr>
        <w:t>五、签约酬金</w:t>
      </w:r>
    </w:p>
    <w:p w14:paraId="5C9B2B84">
      <w:pPr>
        <w:spacing w:line="440" w:lineRule="exact"/>
        <w:ind w:firstLine="420" w:firstLineChars="200"/>
        <w:rPr>
          <w:rFonts w:ascii="宋体" w:hAnsi="宋体" w:cs="宋体"/>
        </w:rPr>
      </w:pPr>
      <w:r>
        <w:rPr>
          <w:rFonts w:hint="eastAsia" w:ascii="宋体" w:hAnsi="宋体" w:cs="宋体"/>
        </w:rPr>
        <w:t>签约酬金（大写）：（¥）</w:t>
      </w:r>
      <w:r>
        <w:rPr>
          <w:rFonts w:hint="eastAsia" w:ascii="宋体" w:hAnsi="宋体" w:cs="宋体"/>
          <w:szCs w:val="21"/>
        </w:rPr>
        <w:t>。</w:t>
      </w:r>
    </w:p>
    <w:p w14:paraId="2419EE2D">
      <w:pPr>
        <w:spacing w:line="440" w:lineRule="exact"/>
        <w:ind w:firstLine="420" w:firstLineChars="200"/>
        <w:rPr>
          <w:rFonts w:ascii="宋体" w:hAnsi="宋体" w:cs="宋体"/>
        </w:rPr>
      </w:pPr>
      <w:r>
        <w:rPr>
          <w:rFonts w:hint="eastAsia" w:ascii="宋体" w:hAnsi="宋体" w:cs="宋体"/>
        </w:rPr>
        <w:t>包括：</w:t>
      </w:r>
    </w:p>
    <w:p w14:paraId="360FB2D3">
      <w:pPr>
        <w:spacing w:line="440" w:lineRule="exact"/>
        <w:ind w:firstLine="420" w:firstLineChars="200"/>
        <w:rPr>
          <w:rFonts w:ascii="宋体" w:hAnsi="宋体" w:cs="宋体"/>
        </w:rPr>
      </w:pPr>
      <w:r>
        <w:rPr>
          <w:rFonts w:hint="eastAsia" w:ascii="宋体" w:hAnsi="宋体" w:cs="宋体"/>
        </w:rPr>
        <w:t>1. 监理酬金：</w:t>
      </w:r>
      <w:r>
        <w:rPr>
          <w:rFonts w:hint="eastAsia" w:ascii="宋体" w:hAnsi="宋体" w:cs="宋体"/>
          <w:kern w:val="0"/>
          <w:szCs w:val="21"/>
          <w:u w:val="single"/>
        </w:rPr>
        <w:t>含</w:t>
      </w:r>
      <w:r>
        <w:rPr>
          <w:rFonts w:hint="eastAsia" w:ascii="宋体" w:hAnsi="宋体" w:cs="宋体"/>
        </w:rPr>
        <w:t>。</w:t>
      </w:r>
    </w:p>
    <w:p w14:paraId="6A30FEC3">
      <w:pPr>
        <w:spacing w:line="440" w:lineRule="exact"/>
        <w:ind w:firstLine="420" w:firstLineChars="200"/>
        <w:rPr>
          <w:rFonts w:ascii="宋体" w:hAnsi="宋体" w:cs="宋体"/>
        </w:rPr>
      </w:pPr>
      <w:r>
        <w:rPr>
          <w:rFonts w:hint="eastAsia" w:ascii="宋体" w:hAnsi="宋体" w:cs="宋体"/>
        </w:rPr>
        <w:t>2. 相关服务酬金：</w:t>
      </w:r>
      <w:r>
        <w:rPr>
          <w:rFonts w:hint="eastAsia" w:ascii="宋体" w:hAnsi="宋体" w:cs="宋体"/>
          <w:szCs w:val="21"/>
          <w:u w:val="single"/>
        </w:rPr>
        <w:t xml:space="preserve"> 包含在监理酬金中   </w:t>
      </w:r>
      <w:r>
        <w:rPr>
          <w:rFonts w:hint="eastAsia" w:ascii="宋体" w:hAnsi="宋体" w:cs="宋体"/>
        </w:rPr>
        <w:t>。</w:t>
      </w:r>
    </w:p>
    <w:p w14:paraId="5FBF62E3">
      <w:pPr>
        <w:spacing w:line="440" w:lineRule="exact"/>
        <w:ind w:firstLine="420" w:firstLineChars="200"/>
        <w:rPr>
          <w:rFonts w:ascii="宋体" w:hAnsi="宋体" w:cs="宋体"/>
        </w:rPr>
      </w:pPr>
      <w:r>
        <w:rPr>
          <w:rFonts w:hint="eastAsia" w:ascii="宋体" w:hAnsi="宋体" w:cs="宋体"/>
        </w:rPr>
        <w:t>其中：</w:t>
      </w:r>
    </w:p>
    <w:p w14:paraId="7DA20527">
      <w:pPr>
        <w:spacing w:line="440" w:lineRule="exact"/>
        <w:ind w:firstLine="420" w:firstLineChars="200"/>
        <w:rPr>
          <w:rFonts w:ascii="宋体" w:hAnsi="宋体" w:cs="宋体"/>
        </w:rPr>
      </w:pPr>
      <w:r>
        <w:rPr>
          <w:rFonts w:hint="eastAsia" w:ascii="宋体" w:hAnsi="宋体" w:cs="宋体"/>
        </w:rPr>
        <w:t>（1）勘察阶段服务酬金：</w:t>
      </w:r>
      <w:r>
        <w:rPr>
          <w:rFonts w:hint="eastAsia" w:ascii="宋体" w:hAnsi="宋体" w:cs="宋体"/>
          <w:u w:val="single"/>
        </w:rPr>
        <w:t>包含在监理酬金中</w:t>
      </w:r>
      <w:r>
        <w:rPr>
          <w:rFonts w:hint="eastAsia" w:ascii="宋体" w:hAnsi="宋体" w:cs="宋体"/>
        </w:rPr>
        <w:t xml:space="preserve"> 。</w:t>
      </w:r>
    </w:p>
    <w:p w14:paraId="4F100E67">
      <w:pPr>
        <w:spacing w:line="440" w:lineRule="exact"/>
        <w:ind w:firstLine="420" w:firstLineChars="200"/>
        <w:rPr>
          <w:rFonts w:ascii="宋体" w:hAnsi="宋体" w:cs="宋体"/>
        </w:rPr>
      </w:pPr>
      <w:r>
        <w:rPr>
          <w:rFonts w:hint="eastAsia" w:ascii="宋体" w:hAnsi="宋体" w:cs="宋体"/>
        </w:rPr>
        <w:t>（2）设计阶段服务酬金：</w:t>
      </w:r>
      <w:r>
        <w:rPr>
          <w:rFonts w:hint="eastAsia" w:ascii="宋体" w:hAnsi="宋体" w:cs="宋体"/>
          <w:u w:val="single"/>
        </w:rPr>
        <w:t>包含在监理酬金中</w:t>
      </w:r>
      <w:r>
        <w:rPr>
          <w:rFonts w:hint="eastAsia" w:ascii="宋体" w:hAnsi="宋体" w:cs="宋体"/>
        </w:rPr>
        <w:t xml:space="preserve"> 。</w:t>
      </w:r>
    </w:p>
    <w:p w14:paraId="3B325247">
      <w:pPr>
        <w:spacing w:line="440" w:lineRule="exact"/>
        <w:ind w:firstLine="420" w:firstLineChars="200"/>
        <w:rPr>
          <w:rFonts w:ascii="宋体" w:hAnsi="宋体" w:cs="宋体"/>
        </w:rPr>
      </w:pPr>
      <w:r>
        <w:rPr>
          <w:rFonts w:hint="eastAsia" w:ascii="宋体" w:hAnsi="宋体" w:cs="宋体"/>
        </w:rPr>
        <w:t>（3）保修阶段服务酬金：</w:t>
      </w:r>
      <w:bookmarkStart w:id="62" w:name="_Hlk63363448"/>
      <w:r>
        <w:rPr>
          <w:rFonts w:hint="eastAsia" w:ascii="宋体" w:hAnsi="宋体" w:cs="宋体"/>
          <w:szCs w:val="21"/>
          <w:u w:val="single"/>
        </w:rPr>
        <w:t>包含在监理酬金中</w:t>
      </w:r>
      <w:bookmarkEnd w:id="62"/>
      <w:r>
        <w:rPr>
          <w:rFonts w:hint="eastAsia" w:ascii="宋体" w:hAnsi="宋体" w:cs="宋体"/>
        </w:rPr>
        <w:t>。</w:t>
      </w:r>
    </w:p>
    <w:p w14:paraId="6515BA68">
      <w:pPr>
        <w:spacing w:line="440" w:lineRule="exact"/>
        <w:ind w:firstLine="420" w:firstLineChars="200"/>
        <w:rPr>
          <w:rFonts w:ascii="宋体" w:hAnsi="宋体" w:cs="宋体"/>
        </w:rPr>
      </w:pPr>
      <w:r>
        <w:rPr>
          <w:rFonts w:hint="eastAsia" w:ascii="宋体" w:hAnsi="宋体" w:cs="宋体"/>
        </w:rPr>
        <w:t>（4）其他相关服务酬金：</w:t>
      </w:r>
      <w:r>
        <w:rPr>
          <w:rFonts w:hint="eastAsia" w:ascii="宋体" w:hAnsi="宋体" w:cs="宋体"/>
          <w:szCs w:val="21"/>
          <w:u w:val="single"/>
        </w:rPr>
        <w:t>包含在监理酬金中</w:t>
      </w:r>
      <w:r>
        <w:rPr>
          <w:rFonts w:hint="eastAsia" w:ascii="宋体" w:hAnsi="宋体" w:cs="宋体"/>
        </w:rPr>
        <w:t xml:space="preserve"> 。</w:t>
      </w:r>
    </w:p>
    <w:p w14:paraId="1DF9E385">
      <w:pPr>
        <w:keepNext/>
        <w:keepLines/>
        <w:spacing w:line="440" w:lineRule="exact"/>
        <w:ind w:firstLine="480" w:firstLineChars="200"/>
        <w:outlineLvl w:val="2"/>
        <w:rPr>
          <w:rFonts w:ascii="宋体" w:hAnsi="宋体" w:cs="宋体"/>
          <w:kern w:val="0"/>
          <w:sz w:val="24"/>
          <w:szCs w:val="32"/>
        </w:rPr>
      </w:pPr>
      <w:r>
        <w:rPr>
          <w:rFonts w:hint="eastAsia" w:ascii="宋体" w:hAnsi="宋体" w:cs="宋体"/>
          <w:kern w:val="0"/>
          <w:sz w:val="24"/>
          <w:szCs w:val="32"/>
        </w:rPr>
        <w:t>六、期限</w:t>
      </w:r>
    </w:p>
    <w:p w14:paraId="345E1E8C">
      <w:pPr>
        <w:spacing w:line="440" w:lineRule="exact"/>
        <w:ind w:firstLine="420" w:firstLineChars="200"/>
        <w:rPr>
          <w:rFonts w:ascii="宋体" w:hAnsi="宋体" w:cs="宋体"/>
        </w:rPr>
      </w:pPr>
      <w:r>
        <w:rPr>
          <w:rFonts w:hint="eastAsia" w:ascii="宋体" w:hAnsi="宋体" w:cs="宋体"/>
        </w:rPr>
        <w:t>1. 监理期限：</w:t>
      </w:r>
    </w:p>
    <w:p w14:paraId="49D078F5">
      <w:pPr>
        <w:spacing w:line="440" w:lineRule="exact"/>
        <w:ind w:firstLine="420" w:firstLineChars="200"/>
        <w:rPr>
          <w:rFonts w:ascii="宋体" w:hAnsi="宋体" w:cs="宋体"/>
        </w:rPr>
      </w:pPr>
      <w:r>
        <w:rPr>
          <w:rFonts w:hint="eastAsia" w:ascii="宋体" w:hAnsi="宋体" w:cs="宋体"/>
        </w:rPr>
        <w:t>自年  月   日始，至 　 年  月  日止（自项目总承包单位确定时间为准）。</w:t>
      </w:r>
    </w:p>
    <w:p w14:paraId="2A3233FE">
      <w:pPr>
        <w:spacing w:line="440" w:lineRule="exact"/>
        <w:ind w:firstLine="420" w:firstLineChars="200"/>
        <w:rPr>
          <w:rFonts w:ascii="宋体" w:hAnsi="宋体" w:cs="宋体"/>
        </w:rPr>
      </w:pPr>
      <w:r>
        <w:rPr>
          <w:rFonts w:hint="eastAsia" w:ascii="宋体" w:hAnsi="宋体" w:cs="宋体"/>
        </w:rPr>
        <w:t>2. 相关服务期限：</w:t>
      </w:r>
    </w:p>
    <w:p w14:paraId="6829A105">
      <w:pPr>
        <w:spacing w:line="440" w:lineRule="exact"/>
        <w:ind w:firstLine="420" w:firstLineChars="200"/>
        <w:rPr>
          <w:rFonts w:ascii="宋体" w:hAnsi="宋体" w:cs="宋体"/>
        </w:rPr>
      </w:pPr>
      <w:r>
        <w:rPr>
          <w:rFonts w:hint="eastAsia" w:ascii="宋体" w:hAnsi="宋体" w:cs="宋体"/>
        </w:rPr>
        <w:t>（1）勘察阶段服务期限自 年 月日始，至 年 月日止。</w:t>
      </w:r>
    </w:p>
    <w:p w14:paraId="48171A91">
      <w:pPr>
        <w:spacing w:line="440" w:lineRule="exact"/>
        <w:ind w:firstLine="420" w:firstLineChars="200"/>
        <w:rPr>
          <w:rFonts w:ascii="宋体" w:hAnsi="宋体" w:cs="宋体"/>
        </w:rPr>
      </w:pPr>
      <w:r>
        <w:rPr>
          <w:rFonts w:hint="eastAsia" w:ascii="宋体" w:hAnsi="宋体" w:cs="宋体"/>
        </w:rPr>
        <w:t>（2）设计阶段服务期限自 年 月日始，至 年 月日止。</w:t>
      </w:r>
    </w:p>
    <w:p w14:paraId="08B5B548">
      <w:pPr>
        <w:adjustRightInd w:val="0"/>
        <w:snapToGrid w:val="0"/>
        <w:spacing w:line="440" w:lineRule="exact"/>
        <w:ind w:firstLine="420" w:firstLineChars="200"/>
        <w:rPr>
          <w:rFonts w:ascii="宋体" w:hAnsi="宋体" w:cs="宋体"/>
          <w:szCs w:val="21"/>
        </w:rPr>
      </w:pPr>
      <w:r>
        <w:rPr>
          <w:rFonts w:hint="eastAsia" w:ascii="宋体" w:hAnsi="宋体" w:cs="宋体"/>
          <w:szCs w:val="21"/>
        </w:rPr>
        <w:t>（3）保修阶段服务期限自      年  月   日始，至      年   月   日止。（</w:t>
      </w:r>
      <w:r>
        <w:rPr>
          <w:rFonts w:hint="eastAsia" w:ascii="宋体" w:hAnsi="宋体" w:cs="宋体"/>
          <w:szCs w:val="21"/>
          <w:u w:val="single"/>
        </w:rPr>
        <w:t xml:space="preserve">工程综合竣工验收合格之日 </w:t>
      </w:r>
      <w:r>
        <w:rPr>
          <w:rFonts w:hint="eastAsia" w:ascii="宋体" w:hAnsi="宋体" w:cs="宋体"/>
          <w:szCs w:val="21"/>
        </w:rPr>
        <w:t>始，至</w:t>
      </w:r>
      <w:r>
        <w:rPr>
          <w:rFonts w:hint="eastAsia" w:ascii="宋体" w:hAnsi="宋体" w:cs="宋体"/>
          <w:szCs w:val="21"/>
          <w:u w:val="single"/>
        </w:rPr>
        <w:t xml:space="preserve"> 工程质量保修期结束 </w:t>
      </w:r>
      <w:r>
        <w:rPr>
          <w:rFonts w:hint="eastAsia" w:ascii="宋体" w:hAnsi="宋体" w:cs="宋体"/>
          <w:szCs w:val="21"/>
        </w:rPr>
        <w:t>日止）</w:t>
      </w:r>
    </w:p>
    <w:p w14:paraId="5D5EF753">
      <w:pPr>
        <w:adjustRightInd w:val="0"/>
        <w:snapToGrid w:val="0"/>
        <w:spacing w:line="440" w:lineRule="exact"/>
        <w:ind w:firstLine="420" w:firstLineChars="200"/>
        <w:rPr>
          <w:rFonts w:ascii="宋体" w:hAnsi="宋体" w:cs="宋体"/>
          <w:szCs w:val="21"/>
        </w:rPr>
      </w:pPr>
      <w:r>
        <w:rPr>
          <w:rFonts w:hint="eastAsia" w:ascii="宋体" w:hAnsi="宋体" w:cs="宋体"/>
          <w:szCs w:val="21"/>
        </w:rPr>
        <w:t>（4）其他相关服务期限自      年  月   日始，至     年   月   日止。（</w:t>
      </w:r>
      <w:r>
        <w:rPr>
          <w:rFonts w:hint="eastAsia" w:ascii="宋体" w:hAnsi="宋体" w:cs="宋体"/>
          <w:szCs w:val="21"/>
          <w:u w:val="single"/>
        </w:rPr>
        <w:t xml:space="preserve">本工程开工之日起  </w:t>
      </w:r>
      <w:r>
        <w:rPr>
          <w:rFonts w:hint="eastAsia" w:ascii="宋体" w:hAnsi="宋体" w:cs="宋体"/>
          <w:szCs w:val="21"/>
        </w:rPr>
        <w:t>日始，至</w:t>
      </w:r>
      <w:r>
        <w:rPr>
          <w:rFonts w:hint="eastAsia" w:ascii="宋体" w:hAnsi="宋体" w:cs="宋体"/>
          <w:szCs w:val="21"/>
          <w:u w:val="single"/>
        </w:rPr>
        <w:t xml:space="preserve"> 工程质量保修期结束 </w:t>
      </w:r>
      <w:r>
        <w:rPr>
          <w:rFonts w:hint="eastAsia" w:ascii="宋体" w:hAnsi="宋体" w:cs="宋体"/>
          <w:szCs w:val="21"/>
        </w:rPr>
        <w:t>日止）</w:t>
      </w:r>
    </w:p>
    <w:p w14:paraId="61C37812">
      <w:pPr>
        <w:keepNext/>
        <w:keepLines/>
        <w:spacing w:line="440" w:lineRule="exact"/>
        <w:ind w:firstLine="480" w:firstLineChars="200"/>
        <w:outlineLvl w:val="2"/>
        <w:rPr>
          <w:rFonts w:ascii="宋体" w:hAnsi="宋体" w:cs="宋体"/>
          <w:kern w:val="0"/>
          <w:sz w:val="24"/>
          <w:szCs w:val="32"/>
        </w:rPr>
      </w:pPr>
      <w:r>
        <w:rPr>
          <w:rFonts w:hint="eastAsia" w:ascii="宋体" w:hAnsi="宋体" w:cs="宋体"/>
          <w:kern w:val="0"/>
          <w:sz w:val="24"/>
          <w:szCs w:val="32"/>
        </w:rPr>
        <w:t>七、双方承诺</w:t>
      </w:r>
    </w:p>
    <w:p w14:paraId="13413191">
      <w:pPr>
        <w:spacing w:line="440" w:lineRule="exact"/>
        <w:ind w:firstLine="420" w:firstLineChars="200"/>
        <w:rPr>
          <w:rFonts w:ascii="宋体" w:hAnsi="宋体" w:cs="宋体"/>
        </w:rPr>
      </w:pPr>
      <w:r>
        <w:rPr>
          <w:rFonts w:hint="eastAsia" w:ascii="宋体" w:hAnsi="宋体" w:cs="宋体"/>
        </w:rPr>
        <w:t>1. 监理人向委托人承诺，按照本合同约定提供监理与相关服务。</w:t>
      </w:r>
    </w:p>
    <w:p w14:paraId="4ADE5B33">
      <w:pPr>
        <w:spacing w:line="440" w:lineRule="exact"/>
        <w:ind w:firstLine="420" w:firstLineChars="200"/>
        <w:rPr>
          <w:rFonts w:ascii="宋体" w:hAnsi="宋体" w:cs="宋体"/>
        </w:rPr>
      </w:pPr>
      <w:r>
        <w:rPr>
          <w:rFonts w:hint="eastAsia" w:ascii="宋体" w:hAnsi="宋体" w:cs="宋体"/>
        </w:rPr>
        <w:t>2. 委托人向监理人承诺，按照本合同约定派遣相应的人员，提供房屋、资料、设备，并按本合同约定支付酬金。</w:t>
      </w:r>
    </w:p>
    <w:p w14:paraId="4DD9A935">
      <w:pPr>
        <w:keepNext/>
        <w:keepLines/>
        <w:spacing w:line="440" w:lineRule="exact"/>
        <w:ind w:firstLine="480" w:firstLineChars="200"/>
        <w:outlineLvl w:val="2"/>
        <w:rPr>
          <w:rFonts w:ascii="宋体" w:hAnsi="宋体" w:cs="宋体"/>
          <w:kern w:val="0"/>
          <w:sz w:val="24"/>
          <w:szCs w:val="32"/>
        </w:rPr>
      </w:pPr>
      <w:r>
        <w:rPr>
          <w:rFonts w:hint="eastAsia" w:ascii="宋体" w:hAnsi="宋体" w:cs="宋体"/>
          <w:kern w:val="0"/>
          <w:sz w:val="24"/>
          <w:szCs w:val="32"/>
        </w:rPr>
        <w:t>八、合同订立</w:t>
      </w:r>
    </w:p>
    <w:p w14:paraId="49B5B759">
      <w:pPr>
        <w:spacing w:line="440" w:lineRule="exact"/>
        <w:ind w:firstLine="420" w:firstLineChars="200"/>
        <w:rPr>
          <w:rFonts w:ascii="宋体" w:hAnsi="宋体" w:cs="宋体"/>
        </w:rPr>
      </w:pPr>
      <w:r>
        <w:rPr>
          <w:rFonts w:hint="eastAsia" w:ascii="宋体" w:hAnsi="宋体" w:cs="宋体"/>
        </w:rPr>
        <w:t>1. 订立时间：年    月      日。</w:t>
      </w:r>
    </w:p>
    <w:p w14:paraId="0D250849">
      <w:pPr>
        <w:spacing w:line="440" w:lineRule="exact"/>
        <w:ind w:firstLine="420" w:firstLineChars="200"/>
        <w:rPr>
          <w:rFonts w:ascii="宋体" w:hAnsi="宋体" w:cs="宋体"/>
        </w:rPr>
      </w:pPr>
      <w:r>
        <w:rPr>
          <w:rFonts w:hint="eastAsia" w:ascii="宋体" w:hAnsi="宋体" w:cs="宋体"/>
        </w:rPr>
        <w:t>2. 订立地点：。</w:t>
      </w:r>
    </w:p>
    <w:p w14:paraId="7CDB3EE9">
      <w:pPr>
        <w:spacing w:line="440" w:lineRule="exact"/>
        <w:ind w:firstLine="420" w:firstLineChars="200"/>
        <w:rPr>
          <w:rFonts w:ascii="宋体" w:hAnsi="宋体" w:cs="宋体"/>
        </w:rPr>
      </w:pPr>
      <w:r>
        <w:rPr>
          <w:rFonts w:hint="eastAsia" w:ascii="宋体" w:hAnsi="宋体" w:cs="宋体"/>
        </w:rPr>
        <w:t>3. 本合同一式 捌份，具有同等法律效力，双方各执 肆 份。</w:t>
      </w:r>
    </w:p>
    <w:p w14:paraId="608B3268">
      <w:pPr>
        <w:spacing w:line="440" w:lineRule="exact"/>
        <w:ind w:firstLine="420" w:firstLineChars="200"/>
        <w:rPr>
          <w:rFonts w:ascii="宋体" w:hAnsi="宋体" w:cs="宋体"/>
        </w:rPr>
      </w:pPr>
      <w:r>
        <w:rPr>
          <w:rFonts w:hint="eastAsia" w:ascii="宋体" w:hAnsi="宋体" w:cs="宋体"/>
        </w:rPr>
        <w:t xml:space="preserve">委托人：   （盖章）        </w:t>
      </w:r>
      <w:r>
        <w:rPr>
          <w:rFonts w:hint="eastAsia" w:ascii="宋体" w:hAnsi="宋体" w:cs="宋体"/>
          <w:lang w:val="en-US" w:eastAsia="zh-CN"/>
        </w:rPr>
        <w:t xml:space="preserve">     </w:t>
      </w:r>
      <w:r>
        <w:rPr>
          <w:rFonts w:hint="eastAsia" w:ascii="宋体" w:hAnsi="宋体" w:cs="宋体"/>
        </w:rPr>
        <w:t xml:space="preserve">监理人：   （盖章）    </w:t>
      </w:r>
    </w:p>
    <w:p w14:paraId="2A676EAB">
      <w:pPr>
        <w:spacing w:line="440" w:lineRule="exact"/>
        <w:ind w:firstLine="420" w:firstLineChars="200"/>
        <w:rPr>
          <w:rFonts w:ascii="宋体" w:hAnsi="宋体" w:cs="宋体"/>
        </w:rPr>
      </w:pPr>
      <w:r>
        <w:rPr>
          <w:rFonts w:hint="eastAsia" w:ascii="宋体" w:hAnsi="宋体" w:cs="宋体"/>
        </w:rPr>
        <w:t xml:space="preserve">住所：                          住所：                      </w:t>
      </w:r>
    </w:p>
    <w:p w14:paraId="480B367C">
      <w:pPr>
        <w:spacing w:line="440" w:lineRule="exact"/>
        <w:ind w:firstLine="420" w:firstLineChars="200"/>
        <w:rPr>
          <w:rFonts w:ascii="宋体" w:hAnsi="宋体" w:cs="宋体"/>
        </w:rPr>
      </w:pPr>
      <w:r>
        <w:rPr>
          <w:rFonts w:hint="eastAsia" w:ascii="宋体" w:hAnsi="宋体" w:cs="宋体"/>
        </w:rPr>
        <w:t xml:space="preserve">法定代表人或其授权       </w:t>
      </w:r>
      <w:r>
        <w:rPr>
          <w:rFonts w:hint="eastAsia" w:ascii="宋体" w:hAnsi="宋体" w:cs="宋体"/>
          <w:lang w:val="en-US" w:eastAsia="zh-CN"/>
        </w:rPr>
        <w:t xml:space="preserve">       </w:t>
      </w:r>
      <w:r>
        <w:rPr>
          <w:rFonts w:hint="eastAsia" w:ascii="宋体" w:hAnsi="宋体" w:cs="宋体"/>
        </w:rPr>
        <w:t>法定代表人或其授权</w:t>
      </w:r>
    </w:p>
    <w:p w14:paraId="1312AA13">
      <w:pPr>
        <w:spacing w:line="440" w:lineRule="exact"/>
        <w:ind w:firstLine="420" w:firstLineChars="200"/>
        <w:rPr>
          <w:rFonts w:ascii="宋体" w:hAnsi="宋体" w:cs="宋体"/>
        </w:rPr>
      </w:pPr>
      <w:r>
        <w:rPr>
          <w:rFonts w:hint="eastAsia" w:ascii="宋体" w:hAnsi="宋体" w:cs="宋体"/>
        </w:rPr>
        <w:t xml:space="preserve">的代理人：（签字）        </w:t>
      </w:r>
      <w:r>
        <w:rPr>
          <w:rFonts w:hint="eastAsia" w:ascii="宋体" w:hAnsi="宋体" w:cs="宋体"/>
          <w:lang w:val="en-US" w:eastAsia="zh-CN"/>
        </w:rPr>
        <w:t xml:space="preserve">     </w:t>
      </w:r>
      <w:r>
        <w:rPr>
          <w:rFonts w:hint="eastAsia" w:ascii="宋体" w:hAnsi="宋体" w:cs="宋体"/>
        </w:rPr>
        <w:t xml:space="preserve">的代理人：（签字）          </w:t>
      </w:r>
    </w:p>
    <w:p w14:paraId="28BF57F2">
      <w:pPr>
        <w:spacing w:line="440" w:lineRule="exact"/>
        <w:ind w:firstLine="420" w:firstLineChars="200"/>
        <w:rPr>
          <w:rFonts w:ascii="宋体" w:hAnsi="宋体" w:cs="宋体"/>
        </w:rPr>
      </w:pPr>
      <w:r>
        <w:rPr>
          <w:rFonts w:hint="eastAsia" w:ascii="宋体" w:hAnsi="宋体" w:cs="宋体"/>
        </w:rPr>
        <w:t xml:space="preserve">开户银行：                    </w:t>
      </w:r>
      <w:r>
        <w:rPr>
          <w:rFonts w:hint="eastAsia" w:ascii="宋体" w:hAnsi="宋体" w:cs="宋体"/>
          <w:lang w:val="en-US" w:eastAsia="zh-CN"/>
        </w:rPr>
        <w:t xml:space="preserve"> </w:t>
      </w:r>
      <w:r>
        <w:rPr>
          <w:rFonts w:hint="eastAsia" w:ascii="宋体" w:hAnsi="宋体" w:cs="宋体"/>
        </w:rPr>
        <w:t xml:space="preserve">开户银行：                  </w:t>
      </w:r>
    </w:p>
    <w:p w14:paraId="47589D75">
      <w:pPr>
        <w:spacing w:line="440" w:lineRule="exact"/>
        <w:ind w:firstLine="420" w:firstLineChars="200"/>
        <w:rPr>
          <w:rFonts w:ascii="宋体" w:hAnsi="宋体" w:cs="宋体"/>
        </w:rPr>
      </w:pPr>
      <w:r>
        <w:rPr>
          <w:rFonts w:hint="eastAsia" w:ascii="宋体" w:hAnsi="宋体" w:cs="宋体"/>
        </w:rPr>
        <w:t xml:space="preserve">账号：                         账号：                         </w:t>
      </w:r>
    </w:p>
    <w:p w14:paraId="397DEDD2">
      <w:pPr>
        <w:spacing w:line="440" w:lineRule="exact"/>
        <w:ind w:firstLine="420" w:firstLineChars="200"/>
        <w:rPr>
          <w:rFonts w:ascii="宋体" w:hAnsi="宋体" w:cs="宋体"/>
        </w:rPr>
      </w:pPr>
      <w:r>
        <w:rPr>
          <w:rFonts w:hint="eastAsia" w:ascii="宋体" w:hAnsi="宋体" w:cs="宋体"/>
        </w:rPr>
        <w:t xml:space="preserve">电话：                         电话：                       </w:t>
      </w:r>
    </w:p>
    <w:p w14:paraId="095069F6">
      <w:pPr>
        <w:spacing w:line="440" w:lineRule="exact"/>
        <w:ind w:firstLine="420" w:firstLineChars="200"/>
        <w:rPr>
          <w:rFonts w:ascii="宋体" w:hAnsi="宋体" w:cs="宋体"/>
        </w:rPr>
      </w:pPr>
      <w:r>
        <w:rPr>
          <w:rFonts w:hint="eastAsia" w:ascii="宋体" w:hAnsi="宋体" w:cs="宋体"/>
        </w:rPr>
        <w:t xml:space="preserve">传真：                         传真：                       </w:t>
      </w:r>
    </w:p>
    <w:p w14:paraId="08034472">
      <w:pPr>
        <w:spacing w:line="440" w:lineRule="exact"/>
        <w:ind w:firstLine="420" w:firstLineChars="200"/>
        <w:rPr>
          <w:rFonts w:ascii="宋体" w:hAnsi="宋体" w:cs="宋体"/>
        </w:rPr>
      </w:pPr>
      <w:r>
        <w:rPr>
          <w:rFonts w:hint="eastAsia" w:ascii="宋体" w:hAnsi="宋体" w:cs="宋体"/>
        </w:rPr>
        <w:t xml:space="preserve">电子邮箱：                    电子邮箱：                  </w:t>
      </w:r>
    </w:p>
    <w:p w14:paraId="3C2F6852">
      <w:pPr>
        <w:spacing w:line="360" w:lineRule="auto"/>
        <w:jc w:val="center"/>
        <w:rPr>
          <w:rFonts w:ascii="宋体" w:hAnsi="宋体" w:cs="宋体"/>
          <w:b/>
          <w:sz w:val="32"/>
          <w:szCs w:val="32"/>
        </w:rPr>
      </w:pPr>
      <w:r>
        <w:rPr>
          <w:rFonts w:hint="eastAsia" w:ascii="宋体" w:hAnsi="宋体" w:cs="宋体"/>
          <w:b/>
          <w:sz w:val="32"/>
          <w:szCs w:val="32"/>
        </w:rPr>
        <w:t>第二部分   通用条件</w:t>
      </w:r>
    </w:p>
    <w:p w14:paraId="474C554F">
      <w:pPr>
        <w:spacing w:line="360" w:lineRule="auto"/>
        <w:jc w:val="center"/>
        <w:rPr>
          <w:rFonts w:ascii="宋体" w:hAnsi="宋体" w:cs="宋体"/>
          <w:b/>
          <w:sz w:val="32"/>
          <w:szCs w:val="32"/>
        </w:rPr>
      </w:pPr>
      <w:r>
        <w:rPr>
          <w:rFonts w:hint="eastAsia" w:ascii="宋体" w:hAnsi="宋体" w:cs="宋体"/>
          <w:b/>
          <w:sz w:val="24"/>
        </w:rPr>
        <w:t>（参见GF-2012-0202建设工程监理合同示范文本）</w:t>
      </w:r>
    </w:p>
    <w:p w14:paraId="5D3C4E1C">
      <w:pPr>
        <w:keepNext/>
        <w:keepLines/>
        <w:spacing w:before="120" w:after="120" w:line="360" w:lineRule="auto"/>
        <w:jc w:val="center"/>
        <w:outlineLvl w:val="1"/>
        <w:rPr>
          <w:rFonts w:ascii="宋体" w:hAnsi="宋体" w:cs="宋体"/>
          <w:bCs/>
          <w:sz w:val="32"/>
          <w:szCs w:val="32"/>
        </w:rPr>
      </w:pPr>
      <w:bookmarkStart w:id="63" w:name="_Toc398107909"/>
      <w:r>
        <w:rPr>
          <w:rFonts w:hint="eastAsia" w:ascii="宋体" w:hAnsi="宋体" w:cs="宋体"/>
          <w:bCs/>
          <w:sz w:val="32"/>
          <w:szCs w:val="32"/>
        </w:rPr>
        <w:t>第三部分  专用条件</w:t>
      </w:r>
      <w:bookmarkEnd w:id="63"/>
    </w:p>
    <w:p w14:paraId="4C3E4856">
      <w:pPr>
        <w:keepNext/>
        <w:keepLines/>
        <w:spacing w:line="440" w:lineRule="exact"/>
        <w:ind w:firstLine="480" w:firstLineChars="200"/>
        <w:jc w:val="left"/>
        <w:outlineLvl w:val="2"/>
        <w:rPr>
          <w:rFonts w:ascii="宋体" w:hAnsi="宋体" w:cs="宋体"/>
          <w:bCs/>
          <w:kern w:val="0"/>
          <w:sz w:val="24"/>
          <w:szCs w:val="32"/>
        </w:rPr>
      </w:pPr>
      <w:bookmarkStart w:id="64" w:name="_Toc398107910"/>
      <w:r>
        <w:rPr>
          <w:rFonts w:hint="eastAsia" w:ascii="宋体" w:hAnsi="宋体" w:cs="宋体"/>
          <w:bCs/>
          <w:kern w:val="0"/>
          <w:sz w:val="24"/>
          <w:szCs w:val="32"/>
        </w:rPr>
        <w:t>1. 定义与解释</w:t>
      </w:r>
      <w:bookmarkEnd w:id="64"/>
    </w:p>
    <w:p w14:paraId="5B2D73A1">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 xml:space="preserve">  1.2  解释</w:t>
      </w:r>
    </w:p>
    <w:p w14:paraId="73A45266">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1.2.1 本合同文件除使用中文外，还可用</w:t>
      </w:r>
      <w:r>
        <w:rPr>
          <w:rFonts w:hint="eastAsia" w:ascii="宋体" w:hAnsi="宋体" w:cs="宋体"/>
          <w:szCs w:val="21"/>
          <w:u w:val="single"/>
        </w:rPr>
        <w:t xml:space="preserve">     /       </w:t>
      </w:r>
      <w:r>
        <w:rPr>
          <w:rFonts w:hint="eastAsia" w:ascii="宋体" w:hAnsi="宋体" w:cs="宋体"/>
          <w:szCs w:val="21"/>
        </w:rPr>
        <w:t>。</w:t>
      </w:r>
    </w:p>
    <w:p w14:paraId="1C19E527">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1.2.2 约定本合同文件的解释顺序为：</w:t>
      </w:r>
      <w:r>
        <w:rPr>
          <w:rFonts w:hint="eastAsia" w:ascii="宋体" w:hAnsi="宋体" w:cs="宋体"/>
          <w:szCs w:val="21"/>
          <w:u w:val="single"/>
        </w:rPr>
        <w:t xml:space="preserve"> ①协议书； ② 中标通知书；③ 招标文件及澄清说明；④投标文件； ⑤ 专用条件；⑥ 通用条件； </w:t>
      </w:r>
    </w:p>
    <w:p w14:paraId="002A95ED">
      <w:pPr>
        <w:keepNext/>
        <w:keepLines/>
        <w:spacing w:line="440" w:lineRule="exact"/>
        <w:ind w:firstLine="480" w:firstLineChars="200"/>
        <w:jc w:val="left"/>
        <w:outlineLvl w:val="2"/>
        <w:rPr>
          <w:rFonts w:ascii="宋体" w:hAnsi="宋体" w:cs="宋体"/>
          <w:bCs/>
          <w:kern w:val="0"/>
          <w:sz w:val="24"/>
          <w:szCs w:val="32"/>
        </w:rPr>
      </w:pPr>
      <w:bookmarkStart w:id="65" w:name="_Toc398107911"/>
      <w:r>
        <w:rPr>
          <w:rFonts w:hint="eastAsia" w:ascii="宋体" w:hAnsi="宋体" w:cs="宋体"/>
          <w:bCs/>
          <w:kern w:val="0"/>
          <w:sz w:val="24"/>
          <w:szCs w:val="32"/>
        </w:rPr>
        <w:t>2. 监理人义务</w:t>
      </w:r>
      <w:bookmarkEnd w:id="65"/>
    </w:p>
    <w:p w14:paraId="2A029E17">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2.1 监理的范围和</w:t>
      </w:r>
      <w:r>
        <w:rPr>
          <w:rFonts w:hint="eastAsia" w:ascii="宋体" w:hAnsi="宋体" w:cs="宋体"/>
          <w:bCs/>
          <w:szCs w:val="21"/>
        </w:rPr>
        <w:t>内容</w:t>
      </w:r>
    </w:p>
    <w:p w14:paraId="62DB2493">
      <w:pPr>
        <w:adjustRightInd w:val="0"/>
        <w:snapToGrid w:val="0"/>
        <w:spacing w:line="400" w:lineRule="exact"/>
        <w:ind w:firstLine="420" w:firstLineChars="200"/>
        <w:rPr>
          <w:rFonts w:ascii="宋体" w:hAnsi="宋体" w:cs="宋体"/>
          <w:color w:val="000000" w:themeColor="text1"/>
          <w:szCs w:val="21"/>
          <w:u w:val="single"/>
        </w:rPr>
      </w:pPr>
      <w:r>
        <w:rPr>
          <w:rFonts w:hint="eastAsia" w:ascii="宋体" w:hAnsi="宋体" w:cs="宋体"/>
          <w:szCs w:val="21"/>
        </w:rPr>
        <w:t>2.1.1 监理范围包括：</w:t>
      </w:r>
      <w:r>
        <w:rPr>
          <w:rFonts w:hint="eastAsia" w:ascii="宋体" w:hAnsi="宋体" w:cs="宋体"/>
          <w:color w:val="000000" w:themeColor="text1"/>
          <w:szCs w:val="21"/>
          <w:u w:val="single"/>
        </w:rPr>
        <w:t>①项目施工及保修阶段监理；②其它与工程有关的必不可少的配套项目（含材料设备的采购等）的监理。</w:t>
      </w:r>
    </w:p>
    <w:p w14:paraId="00A50D39">
      <w:pPr>
        <w:widowControl/>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rPr>
        <w:t>2.1.2 监理工作内容还包括：</w:t>
      </w:r>
      <w:r>
        <w:rPr>
          <w:rFonts w:hint="eastAsia" w:ascii="宋体" w:hAnsi="宋体" w:cs="宋体"/>
          <w:szCs w:val="21"/>
          <w:u w:val="single"/>
        </w:rPr>
        <w:t xml:space="preserve"> （但不局限于此）：项目施工及保修阶段监理。即：工程质量控制、工程进度控制、建设资金使用控制、施工合同管理、信息管理、施工安全管理、公正的协调委托人与承包人的关系及其它相关事项，督促承包人全面实施施工合同中所确定的目标。</w:t>
      </w:r>
    </w:p>
    <w:p w14:paraId="77CD6DE9">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协助业主办理工程开工前的有关手续。</w:t>
      </w:r>
    </w:p>
    <w:p w14:paraId="4968E114">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督促、检查承包人严格执行合同和严格按照国家技术规范、标准、地方建筑安装规程以及设计图纸文件要求进行施工；核查施工过程中的各部位、环节以及隐蔽工程的施工验收签证，控制工程质量，关键部位实行旁站监理制度；</w:t>
      </w:r>
    </w:p>
    <w:p w14:paraId="5F18C19F">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分阶段核验及协调施工进度计划，及时提出调整意见，控制工程进度；</w:t>
      </w:r>
    </w:p>
    <w:p w14:paraId="51F399ED">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根据施工承包合同协议条款的付款规定，对已完合格工程计量，签订付款凭证；工程竣工后，参与配合及协助工程结算价款的审查；</w:t>
      </w:r>
    </w:p>
    <w:p w14:paraId="48ECDDD0">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对于设计变更和技术洽商，除提出监理意见之外，应征得委托人意见，在可行的情况下，原则上由原设计单位进行修改或确认；</w:t>
      </w:r>
    </w:p>
    <w:p w14:paraId="1EA982B2">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协助、主持、审理工程中及保修阶段出现的质量事故的分析，提出处理意见；督促检查承包商按批准的处理方案进行处理，审核其事故报告；</w:t>
      </w:r>
    </w:p>
    <w:p w14:paraId="3A498B51">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协助委托人定期召开工程协调会议，调解工程建设中的有关争议，合同纠纷和索赔事项；</w:t>
      </w:r>
    </w:p>
    <w:p w14:paraId="309B93F0">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督促检查承包人的安全生产，文明施工；</w:t>
      </w:r>
    </w:p>
    <w:p w14:paraId="2DD0D692">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组织承包人对工程进行阶段验收及竣工初验；督促整改，并协助业主组织竣工验收；</w:t>
      </w:r>
    </w:p>
    <w:p w14:paraId="293F56AE">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及时提供完整的监理资料，定期向委托人编报监理月报；</w:t>
      </w:r>
    </w:p>
    <w:p w14:paraId="104EA6E7">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协助委托人整理审核承包商合同文件、工程技术文件及竣工验收资料的归档；</w:t>
      </w:r>
    </w:p>
    <w:p w14:paraId="783E04A4">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提供其他应提供的监理服务或业主要求另行增加的其他咨询服务；</w:t>
      </w:r>
    </w:p>
    <w:p w14:paraId="66216E8F">
      <w:pPr>
        <w:widowControl/>
        <w:numPr>
          <w:ilvl w:val="0"/>
          <w:numId w:val="8"/>
        </w:numPr>
        <w:tabs>
          <w:tab w:val="left" w:pos="0"/>
        </w:tabs>
        <w:spacing w:line="440" w:lineRule="exact"/>
        <w:ind w:firstLine="420" w:firstLineChars="200"/>
        <w:jc w:val="left"/>
        <w:rPr>
          <w:rFonts w:ascii="宋体" w:hAnsi="宋体" w:cs="宋体"/>
          <w:szCs w:val="21"/>
          <w:u w:val="single"/>
        </w:rPr>
      </w:pPr>
      <w:r>
        <w:rPr>
          <w:rFonts w:hint="eastAsia" w:ascii="宋体" w:hAnsi="宋体" w:cs="宋体"/>
          <w:szCs w:val="21"/>
          <w:u w:val="single"/>
        </w:rPr>
        <w:t>监理人应每月不少于一次或委托人认为需要时向委托人以书面形式报告监理情况；</w:t>
      </w:r>
    </w:p>
    <w:p w14:paraId="22906374">
      <w:pPr>
        <w:numPr>
          <w:ilvl w:val="0"/>
          <w:numId w:val="8"/>
        </w:numPr>
        <w:spacing w:line="440" w:lineRule="exact"/>
        <w:ind w:firstLine="422" w:firstLineChars="200"/>
        <w:jc w:val="left"/>
        <w:rPr>
          <w:rFonts w:ascii="宋体" w:hAnsi="宋体" w:cs="宋体"/>
          <w:szCs w:val="21"/>
        </w:rPr>
      </w:pPr>
      <w:r>
        <w:rPr>
          <w:rFonts w:hint="eastAsia" w:ascii="宋体" w:hAnsi="宋体" w:cs="宋体"/>
          <w:b/>
          <w:szCs w:val="21"/>
          <w:u w:val="single"/>
        </w:rPr>
        <w:t>涉及工程建设现场的外层关系（设计、质量监督、质量检测、安全监督、施工等）由监理机构负责组织协调</w:t>
      </w:r>
      <w:r>
        <w:rPr>
          <w:rFonts w:hint="eastAsia" w:ascii="宋体" w:hAnsi="宋体" w:cs="宋体"/>
          <w:szCs w:val="21"/>
        </w:rPr>
        <w:t>。</w:t>
      </w:r>
    </w:p>
    <w:p w14:paraId="77650EF0">
      <w:pPr>
        <w:numPr>
          <w:ilvl w:val="0"/>
          <w:numId w:val="8"/>
        </w:numPr>
        <w:spacing w:line="440" w:lineRule="exact"/>
        <w:ind w:firstLine="420" w:firstLineChars="200"/>
        <w:jc w:val="left"/>
        <w:rPr>
          <w:rFonts w:ascii="宋体" w:hAnsi="宋体" w:cs="宋体"/>
          <w:szCs w:val="21"/>
          <w:u w:val="single"/>
        </w:rPr>
      </w:pPr>
      <w:r>
        <w:rPr>
          <w:rFonts w:hint="eastAsia" w:ascii="宋体" w:hAnsi="宋体" w:cs="宋体"/>
          <w:szCs w:val="21"/>
          <w:u w:val="single"/>
        </w:rPr>
        <w:t>质量保修期的保修监理，未尽事宜按监理的有关法律法规执行。</w:t>
      </w:r>
    </w:p>
    <w:p w14:paraId="646ECF82">
      <w:pPr>
        <w:numPr>
          <w:ilvl w:val="0"/>
          <w:numId w:val="8"/>
        </w:numPr>
        <w:spacing w:line="440" w:lineRule="exact"/>
        <w:ind w:firstLine="420" w:firstLineChars="200"/>
        <w:jc w:val="left"/>
        <w:rPr>
          <w:rFonts w:ascii="宋体" w:hAnsi="宋体" w:cs="宋体"/>
          <w:szCs w:val="21"/>
          <w:u w:val="single"/>
        </w:rPr>
      </w:pPr>
      <w:r>
        <w:rPr>
          <w:rFonts w:hint="eastAsia" w:ascii="宋体" w:hAnsi="宋体" w:cs="宋体"/>
          <w:szCs w:val="21"/>
          <w:u w:val="single"/>
        </w:rPr>
        <w:t>监理人需委派一名监理员常驻委托人项目部办公室上班,完成委托人工程资料的收集、整理及其他相关工作事项.</w:t>
      </w:r>
    </w:p>
    <w:p w14:paraId="3146D2FB">
      <w:pPr>
        <w:spacing w:line="440" w:lineRule="exact"/>
        <w:ind w:firstLine="420" w:firstLineChars="200"/>
        <w:jc w:val="left"/>
        <w:rPr>
          <w:rFonts w:ascii="宋体" w:hAnsi="宋体" w:cs="宋体"/>
          <w:szCs w:val="21"/>
        </w:rPr>
      </w:pPr>
      <w:r>
        <w:rPr>
          <w:rFonts w:hint="eastAsia" w:ascii="宋体" w:hAnsi="宋体" w:cs="宋体"/>
          <w:szCs w:val="21"/>
        </w:rPr>
        <w:t>2.2 监理与相关服务依据</w:t>
      </w:r>
    </w:p>
    <w:p w14:paraId="76B3FA84">
      <w:pPr>
        <w:spacing w:line="440" w:lineRule="exact"/>
        <w:ind w:firstLine="420" w:firstLineChars="200"/>
        <w:jc w:val="left"/>
        <w:rPr>
          <w:rFonts w:ascii="宋体" w:hAnsi="宋体" w:cs="宋体"/>
          <w:szCs w:val="21"/>
        </w:rPr>
      </w:pPr>
      <w:r>
        <w:rPr>
          <w:rFonts w:hint="eastAsia" w:ascii="宋体" w:hAnsi="宋体" w:cs="宋体"/>
          <w:szCs w:val="21"/>
        </w:rPr>
        <w:t>2.2.1 监理依据包括：</w:t>
      </w:r>
    </w:p>
    <w:p w14:paraId="28724542">
      <w:pPr>
        <w:numPr>
          <w:ilvl w:val="0"/>
          <w:numId w:val="9"/>
        </w:numPr>
        <w:spacing w:line="440" w:lineRule="exact"/>
        <w:jc w:val="left"/>
        <w:rPr>
          <w:rFonts w:ascii="宋体" w:hAnsi="宋体" w:cs="宋体"/>
          <w:szCs w:val="21"/>
          <w:u w:val="single"/>
        </w:rPr>
      </w:pPr>
      <w:r>
        <w:rPr>
          <w:rFonts w:hint="eastAsia" w:ascii="宋体" w:hAnsi="宋体" w:cs="宋体"/>
          <w:szCs w:val="21"/>
          <w:u w:val="single"/>
        </w:rPr>
        <w:t>国家关于工程建设的政策、法律、法规、规范及标准；</w:t>
      </w:r>
    </w:p>
    <w:p w14:paraId="25E55DBC">
      <w:pPr>
        <w:numPr>
          <w:ilvl w:val="0"/>
          <w:numId w:val="9"/>
        </w:numPr>
        <w:spacing w:line="440" w:lineRule="exact"/>
        <w:jc w:val="left"/>
        <w:rPr>
          <w:rFonts w:ascii="宋体" w:hAnsi="宋体" w:cs="宋体"/>
          <w:szCs w:val="21"/>
          <w:u w:val="single"/>
        </w:rPr>
      </w:pPr>
      <w:r>
        <w:rPr>
          <w:rFonts w:hint="eastAsia" w:ascii="宋体" w:hAnsi="宋体" w:cs="宋体"/>
          <w:szCs w:val="21"/>
          <w:u w:val="single"/>
        </w:rPr>
        <w:t>国家建设部等部委及江苏省地方性的关于工程建设监理方面的规章、规定；</w:t>
      </w:r>
    </w:p>
    <w:p w14:paraId="64F119BF">
      <w:pPr>
        <w:numPr>
          <w:ilvl w:val="0"/>
          <w:numId w:val="9"/>
        </w:numPr>
        <w:spacing w:line="440" w:lineRule="exact"/>
        <w:jc w:val="left"/>
        <w:rPr>
          <w:rFonts w:ascii="宋体" w:hAnsi="宋体" w:cs="宋体"/>
          <w:szCs w:val="21"/>
          <w:u w:val="single"/>
        </w:rPr>
      </w:pPr>
      <w:r>
        <w:rPr>
          <w:rFonts w:hint="eastAsia" w:ascii="宋体" w:hAnsi="宋体" w:cs="宋体"/>
          <w:szCs w:val="21"/>
          <w:u w:val="single"/>
        </w:rPr>
        <w:t>政府批准的工程建设文件；</w:t>
      </w:r>
    </w:p>
    <w:p w14:paraId="680DD4DB">
      <w:pPr>
        <w:numPr>
          <w:ilvl w:val="0"/>
          <w:numId w:val="9"/>
        </w:numPr>
        <w:spacing w:line="440" w:lineRule="exact"/>
        <w:jc w:val="left"/>
        <w:rPr>
          <w:rFonts w:ascii="宋体" w:hAnsi="宋体" w:cs="宋体"/>
          <w:szCs w:val="21"/>
          <w:u w:val="single"/>
        </w:rPr>
      </w:pPr>
      <w:r>
        <w:rPr>
          <w:rFonts w:hint="eastAsia" w:ascii="宋体" w:hAnsi="宋体" w:cs="宋体"/>
          <w:szCs w:val="21"/>
          <w:u w:val="single"/>
        </w:rPr>
        <w:t>经有权部门批准通过的本工程的勘察设计文件；</w:t>
      </w:r>
    </w:p>
    <w:p w14:paraId="60FBE0FD">
      <w:pPr>
        <w:numPr>
          <w:ilvl w:val="0"/>
          <w:numId w:val="9"/>
        </w:numPr>
        <w:spacing w:line="440" w:lineRule="exact"/>
        <w:jc w:val="left"/>
        <w:rPr>
          <w:rFonts w:ascii="宋体" w:hAnsi="宋体" w:cs="宋体"/>
          <w:szCs w:val="21"/>
          <w:u w:val="single"/>
        </w:rPr>
      </w:pPr>
      <w:r>
        <w:rPr>
          <w:rFonts w:hint="eastAsia" w:ascii="宋体" w:hAnsi="宋体" w:cs="宋体"/>
          <w:szCs w:val="21"/>
          <w:u w:val="single"/>
        </w:rPr>
        <w:t>委托人与各承包人签订的建设工程施工合同、协议；</w:t>
      </w:r>
    </w:p>
    <w:p w14:paraId="247DAC76">
      <w:pPr>
        <w:numPr>
          <w:ilvl w:val="0"/>
          <w:numId w:val="9"/>
        </w:numPr>
        <w:spacing w:line="440" w:lineRule="exact"/>
        <w:jc w:val="left"/>
        <w:rPr>
          <w:rFonts w:ascii="宋体" w:hAnsi="宋体" w:cs="宋体"/>
          <w:sz w:val="24"/>
          <w:u w:val="single"/>
        </w:rPr>
      </w:pPr>
      <w:r>
        <w:rPr>
          <w:rFonts w:hint="eastAsia" w:ascii="宋体" w:hAnsi="宋体" w:cs="宋体"/>
          <w:szCs w:val="21"/>
          <w:u w:val="single"/>
        </w:rPr>
        <w:t>发包人的正当要求和本委托监理合同。</w:t>
      </w:r>
    </w:p>
    <w:p w14:paraId="67D98F3D">
      <w:pPr>
        <w:adjustRightInd w:val="0"/>
        <w:snapToGrid w:val="0"/>
        <w:spacing w:line="440" w:lineRule="exact"/>
        <w:ind w:firstLine="420" w:firstLineChars="200"/>
        <w:jc w:val="left"/>
        <w:rPr>
          <w:rFonts w:ascii="宋体" w:hAnsi="宋体" w:cs="宋体"/>
          <w:dstrike/>
          <w:szCs w:val="21"/>
        </w:rPr>
      </w:pPr>
      <w:r>
        <w:rPr>
          <w:rFonts w:hint="eastAsia" w:ascii="宋体" w:hAnsi="宋体" w:cs="宋体"/>
          <w:szCs w:val="21"/>
        </w:rPr>
        <w:t>2.2.2 相关服务依据包括：</w:t>
      </w:r>
      <w:r>
        <w:rPr>
          <w:rFonts w:hint="eastAsia" w:ascii="宋体" w:hAnsi="宋体" w:cs="宋体"/>
          <w:szCs w:val="21"/>
          <w:u w:val="single"/>
        </w:rPr>
        <w:t xml:space="preserve">  按照相关规定、规范和委托人与第三方签订的与实施工程相关的其它合同中明确的监理服务内容  </w:t>
      </w:r>
      <w:r>
        <w:rPr>
          <w:rFonts w:hint="eastAsia" w:ascii="宋体" w:hAnsi="宋体" w:cs="宋体"/>
          <w:szCs w:val="21"/>
        </w:rPr>
        <w:t>。</w:t>
      </w:r>
    </w:p>
    <w:p w14:paraId="23354A9C">
      <w:pPr>
        <w:spacing w:line="440" w:lineRule="exact"/>
        <w:ind w:firstLine="420" w:firstLineChars="200"/>
        <w:jc w:val="left"/>
        <w:rPr>
          <w:rFonts w:ascii="宋体" w:hAnsi="宋体" w:cs="宋体"/>
          <w:kern w:val="0"/>
          <w:szCs w:val="21"/>
        </w:rPr>
      </w:pPr>
      <w:r>
        <w:rPr>
          <w:rFonts w:hint="eastAsia" w:ascii="宋体" w:hAnsi="宋体" w:cs="宋体"/>
          <w:szCs w:val="21"/>
        </w:rPr>
        <w:t>2.3</w:t>
      </w:r>
      <w:r>
        <w:rPr>
          <w:rFonts w:hint="eastAsia" w:ascii="宋体" w:hAnsi="宋体" w:cs="宋体"/>
          <w:kern w:val="0"/>
          <w:szCs w:val="21"/>
        </w:rPr>
        <w:t>项目监理机构和人员</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2385"/>
        <w:gridCol w:w="1776"/>
        <w:gridCol w:w="1777"/>
        <w:gridCol w:w="1777"/>
      </w:tblGrid>
      <w:tr w14:paraId="6E57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Align w:val="center"/>
          </w:tcPr>
          <w:p w14:paraId="3CCB93EC">
            <w:pPr>
              <w:spacing w:line="440" w:lineRule="exact"/>
              <w:jc w:val="center"/>
              <w:rPr>
                <w:rFonts w:ascii="宋体" w:hAnsi="宋体" w:cs="宋体"/>
                <w:kern w:val="0"/>
                <w:szCs w:val="21"/>
              </w:rPr>
            </w:pPr>
            <w:r>
              <w:rPr>
                <w:rFonts w:hint="eastAsia" w:ascii="宋体" w:hAnsi="宋体" w:cs="宋体"/>
                <w:kern w:val="0"/>
                <w:szCs w:val="21"/>
              </w:rPr>
              <w:t>序号</w:t>
            </w:r>
          </w:p>
        </w:tc>
        <w:tc>
          <w:tcPr>
            <w:tcW w:w="2385" w:type="dxa"/>
            <w:vAlign w:val="center"/>
          </w:tcPr>
          <w:p w14:paraId="3BE02BEF">
            <w:pPr>
              <w:spacing w:line="440" w:lineRule="exact"/>
              <w:jc w:val="center"/>
              <w:rPr>
                <w:rFonts w:ascii="宋体" w:hAnsi="宋体" w:cs="宋体"/>
                <w:kern w:val="0"/>
                <w:szCs w:val="21"/>
              </w:rPr>
            </w:pPr>
            <w:r>
              <w:rPr>
                <w:rFonts w:hint="eastAsia" w:ascii="宋体" w:hAnsi="宋体" w:cs="宋体"/>
                <w:kern w:val="0"/>
                <w:szCs w:val="21"/>
              </w:rPr>
              <w:t>岗位</w:t>
            </w:r>
          </w:p>
        </w:tc>
        <w:tc>
          <w:tcPr>
            <w:tcW w:w="1776" w:type="dxa"/>
            <w:vAlign w:val="center"/>
          </w:tcPr>
          <w:p w14:paraId="1F49EDFB">
            <w:pPr>
              <w:spacing w:line="440" w:lineRule="exact"/>
              <w:jc w:val="center"/>
              <w:rPr>
                <w:rFonts w:ascii="宋体" w:hAnsi="宋体" w:cs="宋体"/>
                <w:kern w:val="0"/>
                <w:szCs w:val="21"/>
              </w:rPr>
            </w:pPr>
            <w:r>
              <w:rPr>
                <w:rFonts w:hint="eastAsia" w:ascii="宋体" w:hAnsi="宋体" w:cs="宋体"/>
                <w:kern w:val="0"/>
                <w:szCs w:val="21"/>
              </w:rPr>
              <w:t>姓名</w:t>
            </w:r>
          </w:p>
        </w:tc>
        <w:tc>
          <w:tcPr>
            <w:tcW w:w="1777" w:type="dxa"/>
            <w:vAlign w:val="center"/>
          </w:tcPr>
          <w:p w14:paraId="52122B29">
            <w:pPr>
              <w:spacing w:line="440" w:lineRule="exact"/>
              <w:jc w:val="center"/>
              <w:rPr>
                <w:rFonts w:ascii="宋体" w:hAnsi="宋体" w:cs="宋体"/>
                <w:kern w:val="0"/>
                <w:szCs w:val="21"/>
              </w:rPr>
            </w:pPr>
            <w:r>
              <w:rPr>
                <w:rFonts w:hint="eastAsia" w:ascii="宋体" w:hAnsi="宋体" w:cs="宋体"/>
                <w:kern w:val="0"/>
                <w:szCs w:val="21"/>
              </w:rPr>
              <w:t>身份证</w:t>
            </w:r>
          </w:p>
        </w:tc>
        <w:tc>
          <w:tcPr>
            <w:tcW w:w="1777" w:type="dxa"/>
            <w:vAlign w:val="center"/>
          </w:tcPr>
          <w:p w14:paraId="22099604">
            <w:pPr>
              <w:spacing w:line="440" w:lineRule="exact"/>
              <w:jc w:val="center"/>
              <w:rPr>
                <w:rFonts w:ascii="宋体" w:hAnsi="宋体" w:cs="宋体"/>
                <w:kern w:val="0"/>
                <w:szCs w:val="21"/>
              </w:rPr>
            </w:pPr>
            <w:r>
              <w:rPr>
                <w:rFonts w:hint="eastAsia" w:ascii="宋体" w:hAnsi="宋体" w:cs="宋体"/>
                <w:kern w:val="0"/>
                <w:szCs w:val="21"/>
              </w:rPr>
              <w:t>注册证书</w:t>
            </w:r>
          </w:p>
        </w:tc>
      </w:tr>
      <w:tr w14:paraId="1127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Align w:val="center"/>
          </w:tcPr>
          <w:p w14:paraId="2B88C449">
            <w:pPr>
              <w:spacing w:line="440" w:lineRule="exact"/>
              <w:jc w:val="center"/>
              <w:rPr>
                <w:rFonts w:ascii="宋体" w:hAnsi="宋体" w:cs="宋体"/>
                <w:kern w:val="0"/>
                <w:szCs w:val="21"/>
              </w:rPr>
            </w:pPr>
            <w:r>
              <w:rPr>
                <w:rFonts w:hint="eastAsia" w:ascii="宋体" w:hAnsi="宋体" w:cs="宋体"/>
                <w:kern w:val="0"/>
                <w:szCs w:val="21"/>
              </w:rPr>
              <w:t>1</w:t>
            </w:r>
          </w:p>
        </w:tc>
        <w:tc>
          <w:tcPr>
            <w:tcW w:w="2385" w:type="dxa"/>
            <w:vAlign w:val="center"/>
          </w:tcPr>
          <w:p w14:paraId="6BD27B08">
            <w:pPr>
              <w:spacing w:line="440" w:lineRule="exact"/>
              <w:jc w:val="center"/>
              <w:rPr>
                <w:rFonts w:ascii="宋体" w:hAnsi="宋体" w:cs="宋体"/>
                <w:kern w:val="0"/>
                <w:szCs w:val="21"/>
              </w:rPr>
            </w:pPr>
            <w:r>
              <w:rPr>
                <w:rFonts w:hint="eastAsia" w:ascii="宋体" w:hAnsi="宋体" w:cs="宋体"/>
                <w:kern w:val="0"/>
                <w:szCs w:val="21"/>
              </w:rPr>
              <w:t>总监理工程师</w:t>
            </w:r>
          </w:p>
        </w:tc>
        <w:tc>
          <w:tcPr>
            <w:tcW w:w="1776" w:type="dxa"/>
            <w:vAlign w:val="center"/>
          </w:tcPr>
          <w:p w14:paraId="7D02979A">
            <w:pPr>
              <w:spacing w:line="440" w:lineRule="exact"/>
              <w:jc w:val="center"/>
              <w:rPr>
                <w:rFonts w:ascii="宋体" w:hAnsi="宋体" w:cs="宋体"/>
                <w:kern w:val="0"/>
                <w:szCs w:val="21"/>
              </w:rPr>
            </w:pPr>
          </w:p>
        </w:tc>
        <w:tc>
          <w:tcPr>
            <w:tcW w:w="1777" w:type="dxa"/>
            <w:vAlign w:val="center"/>
          </w:tcPr>
          <w:p w14:paraId="6149978C">
            <w:pPr>
              <w:spacing w:line="440" w:lineRule="exact"/>
              <w:jc w:val="center"/>
              <w:rPr>
                <w:rFonts w:ascii="宋体" w:hAnsi="宋体" w:cs="宋体"/>
                <w:kern w:val="0"/>
                <w:szCs w:val="21"/>
              </w:rPr>
            </w:pPr>
          </w:p>
        </w:tc>
        <w:tc>
          <w:tcPr>
            <w:tcW w:w="1777" w:type="dxa"/>
            <w:vAlign w:val="center"/>
          </w:tcPr>
          <w:p w14:paraId="558BD0D3">
            <w:pPr>
              <w:spacing w:line="440" w:lineRule="exact"/>
              <w:jc w:val="center"/>
              <w:rPr>
                <w:rFonts w:ascii="宋体" w:hAnsi="宋体" w:cs="宋体"/>
                <w:kern w:val="0"/>
                <w:szCs w:val="21"/>
              </w:rPr>
            </w:pPr>
          </w:p>
        </w:tc>
      </w:tr>
      <w:tr w14:paraId="5E5E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Align w:val="center"/>
          </w:tcPr>
          <w:p w14:paraId="4715AE1B">
            <w:pPr>
              <w:spacing w:line="440" w:lineRule="exact"/>
              <w:jc w:val="center"/>
              <w:rPr>
                <w:rFonts w:ascii="宋体" w:hAnsi="宋体" w:cs="宋体"/>
                <w:kern w:val="0"/>
                <w:szCs w:val="21"/>
              </w:rPr>
            </w:pPr>
            <w:r>
              <w:rPr>
                <w:rFonts w:hint="eastAsia" w:ascii="宋体" w:hAnsi="宋体" w:cs="宋体"/>
                <w:kern w:val="0"/>
                <w:szCs w:val="21"/>
              </w:rPr>
              <w:t>2</w:t>
            </w:r>
          </w:p>
        </w:tc>
        <w:tc>
          <w:tcPr>
            <w:tcW w:w="2385" w:type="dxa"/>
            <w:vAlign w:val="center"/>
          </w:tcPr>
          <w:p w14:paraId="1EEDF4EF">
            <w:pPr>
              <w:spacing w:line="440" w:lineRule="exact"/>
              <w:jc w:val="center"/>
              <w:rPr>
                <w:rFonts w:ascii="宋体" w:hAnsi="宋体" w:cs="宋体"/>
                <w:kern w:val="0"/>
                <w:szCs w:val="21"/>
              </w:rPr>
            </w:pPr>
            <w:r>
              <w:rPr>
                <w:rFonts w:hint="eastAsia" w:ascii="宋体" w:hAnsi="宋体" w:cs="宋体"/>
                <w:kern w:val="0"/>
                <w:szCs w:val="21"/>
              </w:rPr>
              <w:t>专业监理工程师</w:t>
            </w:r>
          </w:p>
        </w:tc>
        <w:tc>
          <w:tcPr>
            <w:tcW w:w="1776" w:type="dxa"/>
            <w:vAlign w:val="center"/>
          </w:tcPr>
          <w:p w14:paraId="5A03A388">
            <w:pPr>
              <w:spacing w:line="440" w:lineRule="exact"/>
              <w:jc w:val="center"/>
              <w:rPr>
                <w:rFonts w:ascii="宋体" w:hAnsi="宋体" w:cs="宋体"/>
                <w:kern w:val="0"/>
                <w:szCs w:val="21"/>
              </w:rPr>
            </w:pPr>
          </w:p>
        </w:tc>
        <w:tc>
          <w:tcPr>
            <w:tcW w:w="1777" w:type="dxa"/>
            <w:vAlign w:val="center"/>
          </w:tcPr>
          <w:p w14:paraId="01F5F1DD">
            <w:pPr>
              <w:spacing w:line="440" w:lineRule="exact"/>
              <w:jc w:val="center"/>
              <w:rPr>
                <w:rFonts w:ascii="宋体" w:hAnsi="宋体" w:cs="宋体"/>
                <w:kern w:val="0"/>
                <w:szCs w:val="21"/>
              </w:rPr>
            </w:pPr>
          </w:p>
        </w:tc>
        <w:tc>
          <w:tcPr>
            <w:tcW w:w="1777" w:type="dxa"/>
            <w:vAlign w:val="center"/>
          </w:tcPr>
          <w:p w14:paraId="149147E6">
            <w:pPr>
              <w:spacing w:line="440" w:lineRule="exact"/>
              <w:jc w:val="center"/>
              <w:rPr>
                <w:rFonts w:ascii="宋体" w:hAnsi="宋体" w:cs="宋体"/>
                <w:kern w:val="0"/>
                <w:szCs w:val="21"/>
              </w:rPr>
            </w:pPr>
          </w:p>
        </w:tc>
      </w:tr>
      <w:tr w14:paraId="13A7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Align w:val="center"/>
          </w:tcPr>
          <w:p w14:paraId="5E9F6F23">
            <w:pPr>
              <w:spacing w:line="440" w:lineRule="exact"/>
              <w:jc w:val="center"/>
              <w:rPr>
                <w:rFonts w:ascii="宋体" w:hAnsi="宋体" w:cs="宋体"/>
                <w:kern w:val="0"/>
                <w:szCs w:val="21"/>
              </w:rPr>
            </w:pPr>
            <w:r>
              <w:rPr>
                <w:rFonts w:hint="eastAsia" w:ascii="宋体" w:hAnsi="宋体" w:cs="宋体"/>
                <w:kern w:val="0"/>
                <w:szCs w:val="21"/>
              </w:rPr>
              <w:t>3</w:t>
            </w:r>
          </w:p>
        </w:tc>
        <w:tc>
          <w:tcPr>
            <w:tcW w:w="2385" w:type="dxa"/>
            <w:vAlign w:val="center"/>
          </w:tcPr>
          <w:p w14:paraId="24CEC899">
            <w:pPr>
              <w:spacing w:line="440" w:lineRule="exact"/>
              <w:jc w:val="center"/>
              <w:rPr>
                <w:rFonts w:ascii="宋体" w:hAnsi="宋体" w:cs="宋体"/>
                <w:kern w:val="0"/>
                <w:szCs w:val="21"/>
              </w:rPr>
            </w:pPr>
            <w:r>
              <w:rPr>
                <w:rFonts w:hint="eastAsia" w:ascii="宋体" w:hAnsi="宋体" w:cs="宋体"/>
                <w:kern w:val="0"/>
                <w:szCs w:val="21"/>
              </w:rPr>
              <w:t>监理员</w:t>
            </w:r>
          </w:p>
        </w:tc>
        <w:tc>
          <w:tcPr>
            <w:tcW w:w="1776" w:type="dxa"/>
            <w:vAlign w:val="center"/>
          </w:tcPr>
          <w:p w14:paraId="568A6860">
            <w:pPr>
              <w:spacing w:line="440" w:lineRule="exact"/>
              <w:jc w:val="center"/>
              <w:rPr>
                <w:rFonts w:ascii="宋体" w:hAnsi="宋体" w:cs="宋体"/>
                <w:kern w:val="0"/>
                <w:szCs w:val="21"/>
              </w:rPr>
            </w:pPr>
          </w:p>
        </w:tc>
        <w:tc>
          <w:tcPr>
            <w:tcW w:w="1777" w:type="dxa"/>
            <w:vAlign w:val="center"/>
          </w:tcPr>
          <w:p w14:paraId="2350F512">
            <w:pPr>
              <w:spacing w:line="440" w:lineRule="exact"/>
              <w:jc w:val="center"/>
              <w:rPr>
                <w:rFonts w:ascii="宋体" w:hAnsi="宋体" w:cs="宋体"/>
                <w:kern w:val="0"/>
                <w:szCs w:val="21"/>
              </w:rPr>
            </w:pPr>
          </w:p>
        </w:tc>
        <w:tc>
          <w:tcPr>
            <w:tcW w:w="1777" w:type="dxa"/>
            <w:vAlign w:val="center"/>
          </w:tcPr>
          <w:p w14:paraId="32036C05">
            <w:pPr>
              <w:spacing w:line="440" w:lineRule="exact"/>
              <w:jc w:val="center"/>
              <w:rPr>
                <w:rFonts w:ascii="宋体" w:hAnsi="宋体" w:cs="宋体"/>
                <w:kern w:val="0"/>
                <w:szCs w:val="21"/>
              </w:rPr>
            </w:pPr>
          </w:p>
        </w:tc>
      </w:tr>
      <w:tr w14:paraId="5CE9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Align w:val="center"/>
          </w:tcPr>
          <w:p w14:paraId="7185A1F7">
            <w:pPr>
              <w:spacing w:line="440" w:lineRule="exact"/>
              <w:jc w:val="center"/>
              <w:rPr>
                <w:rFonts w:ascii="宋体" w:hAnsi="宋体" w:cs="宋体"/>
                <w:kern w:val="0"/>
                <w:szCs w:val="21"/>
              </w:rPr>
            </w:pPr>
            <w:r>
              <w:rPr>
                <w:rFonts w:hint="eastAsia" w:ascii="宋体" w:hAnsi="宋体" w:cs="宋体"/>
                <w:kern w:val="0"/>
                <w:szCs w:val="21"/>
              </w:rPr>
              <w:t>4</w:t>
            </w:r>
          </w:p>
        </w:tc>
        <w:tc>
          <w:tcPr>
            <w:tcW w:w="2385" w:type="dxa"/>
            <w:vAlign w:val="center"/>
          </w:tcPr>
          <w:p w14:paraId="7DC13E43">
            <w:pPr>
              <w:spacing w:line="440" w:lineRule="exact"/>
              <w:jc w:val="center"/>
              <w:rPr>
                <w:rFonts w:ascii="宋体" w:hAnsi="宋体" w:cs="宋体"/>
                <w:kern w:val="0"/>
                <w:szCs w:val="21"/>
              </w:rPr>
            </w:pPr>
          </w:p>
        </w:tc>
        <w:tc>
          <w:tcPr>
            <w:tcW w:w="1776" w:type="dxa"/>
            <w:vAlign w:val="center"/>
          </w:tcPr>
          <w:p w14:paraId="3B8207A9">
            <w:pPr>
              <w:spacing w:line="440" w:lineRule="exact"/>
              <w:jc w:val="center"/>
              <w:rPr>
                <w:rFonts w:ascii="宋体" w:hAnsi="宋体" w:cs="宋体"/>
                <w:kern w:val="0"/>
                <w:szCs w:val="21"/>
              </w:rPr>
            </w:pPr>
          </w:p>
        </w:tc>
        <w:tc>
          <w:tcPr>
            <w:tcW w:w="1777" w:type="dxa"/>
            <w:vAlign w:val="center"/>
          </w:tcPr>
          <w:p w14:paraId="6DB63276">
            <w:pPr>
              <w:spacing w:line="440" w:lineRule="exact"/>
              <w:jc w:val="center"/>
              <w:rPr>
                <w:rFonts w:ascii="宋体" w:hAnsi="宋体" w:cs="宋体"/>
                <w:kern w:val="0"/>
                <w:szCs w:val="21"/>
              </w:rPr>
            </w:pPr>
          </w:p>
        </w:tc>
        <w:tc>
          <w:tcPr>
            <w:tcW w:w="1777" w:type="dxa"/>
            <w:vAlign w:val="center"/>
          </w:tcPr>
          <w:p w14:paraId="5FFBCD43">
            <w:pPr>
              <w:spacing w:line="440" w:lineRule="exact"/>
              <w:jc w:val="center"/>
              <w:rPr>
                <w:rFonts w:ascii="宋体" w:hAnsi="宋体" w:cs="宋体"/>
                <w:kern w:val="0"/>
                <w:szCs w:val="21"/>
              </w:rPr>
            </w:pPr>
          </w:p>
        </w:tc>
      </w:tr>
    </w:tbl>
    <w:p w14:paraId="136FEF2E">
      <w:pPr>
        <w:adjustRightInd w:val="0"/>
        <w:snapToGrid w:val="0"/>
        <w:spacing w:line="440" w:lineRule="exact"/>
        <w:ind w:firstLine="420" w:firstLineChars="200"/>
        <w:jc w:val="left"/>
        <w:rPr>
          <w:rFonts w:ascii="宋体" w:hAnsi="宋体" w:cs="宋体"/>
          <w:b/>
          <w:szCs w:val="21"/>
          <w:u w:val="single"/>
        </w:rPr>
      </w:pPr>
      <w:r>
        <w:rPr>
          <w:rFonts w:hint="eastAsia" w:ascii="宋体" w:hAnsi="宋体" w:cs="宋体"/>
          <w:szCs w:val="21"/>
        </w:rPr>
        <w:t xml:space="preserve">2.3.4 </w:t>
      </w:r>
      <w:r>
        <w:rPr>
          <w:rFonts w:hint="eastAsia" w:ascii="宋体" w:hAnsi="宋体" w:cs="宋体"/>
          <w:kern w:val="0"/>
          <w:szCs w:val="21"/>
        </w:rPr>
        <w:t>更换监理人员的其他情形：</w:t>
      </w:r>
      <w:r>
        <w:rPr>
          <w:rFonts w:hint="eastAsia" w:ascii="宋体" w:hAnsi="宋体" w:cs="宋体"/>
          <w:b/>
          <w:szCs w:val="21"/>
          <w:u w:val="single"/>
        </w:rPr>
        <w:t>中标后监理人员不得随意更换，如遇不可抗因素确需更换的，必须经招标人同意。其他原因更换的，招标人可以单方终止合同，并可以采取经济处罚，总监更换罚款10万元，专业监理工程师更换每人次罚款5万元，其他人员更换每人次罚款3万元。</w:t>
      </w:r>
    </w:p>
    <w:p w14:paraId="7511438D">
      <w:pPr>
        <w:adjustRightInd w:val="0"/>
        <w:snapToGrid w:val="0"/>
        <w:spacing w:line="440" w:lineRule="exact"/>
        <w:ind w:firstLine="422" w:firstLineChars="200"/>
        <w:jc w:val="left"/>
        <w:rPr>
          <w:rFonts w:ascii="宋体" w:hAnsi="宋体" w:cs="宋体"/>
          <w:b/>
          <w:szCs w:val="21"/>
          <w:u w:val="single"/>
        </w:rPr>
      </w:pPr>
      <w:r>
        <w:rPr>
          <w:rFonts w:hint="eastAsia" w:ascii="宋体" w:hAnsi="宋体" w:cs="宋体"/>
          <w:b/>
          <w:szCs w:val="21"/>
          <w:u w:val="single"/>
        </w:rPr>
        <w:t>合同执行期委托人对不称职监理人员有权提出更换，监理单位不得拒绝或拖延。监理人拒绝或拖延更换，总监罚款10万元、专业监理工程师每人次罚款5万元、其他人员每人次罚款3万元。</w:t>
      </w:r>
    </w:p>
    <w:p w14:paraId="5474F4AB">
      <w:pPr>
        <w:adjustRightInd w:val="0"/>
        <w:snapToGrid w:val="0"/>
        <w:spacing w:line="440" w:lineRule="exact"/>
        <w:ind w:firstLine="422" w:firstLineChars="200"/>
        <w:jc w:val="left"/>
        <w:rPr>
          <w:rFonts w:ascii="宋体" w:hAnsi="宋体" w:cs="宋体"/>
          <w:b/>
          <w:szCs w:val="21"/>
          <w:u w:val="single"/>
        </w:rPr>
      </w:pPr>
      <w:r>
        <w:rPr>
          <w:rFonts w:hint="eastAsia" w:ascii="宋体" w:hAnsi="宋体" w:cs="宋体"/>
          <w:b/>
          <w:szCs w:val="21"/>
          <w:u w:val="single"/>
        </w:rPr>
        <w:t>项目监理组人员不得在其他项目中任职，以保证工程建设监理工作的质量。若发现以上情况根据发包人要求更换同类人员并经济处罚，总监罚款10万元、专业监理工程师每人次罚款5万元、其他人员每人次罚款3万元。</w:t>
      </w:r>
    </w:p>
    <w:p w14:paraId="4528B9A5">
      <w:pPr>
        <w:spacing w:line="440" w:lineRule="exact"/>
        <w:ind w:firstLine="420" w:firstLineChars="200"/>
        <w:jc w:val="left"/>
        <w:rPr>
          <w:rFonts w:ascii="宋体" w:hAnsi="宋体" w:cs="宋体"/>
          <w:szCs w:val="21"/>
        </w:rPr>
      </w:pPr>
      <w:r>
        <w:rPr>
          <w:rFonts w:hint="eastAsia" w:ascii="宋体" w:hAnsi="宋体" w:cs="宋体"/>
          <w:szCs w:val="21"/>
        </w:rPr>
        <w:t xml:space="preserve">2.4 </w:t>
      </w:r>
      <w:r>
        <w:rPr>
          <w:rFonts w:hint="eastAsia" w:ascii="宋体" w:hAnsi="宋体" w:cs="宋体"/>
          <w:kern w:val="0"/>
          <w:szCs w:val="21"/>
        </w:rPr>
        <w:t>履行职责</w:t>
      </w:r>
    </w:p>
    <w:p w14:paraId="2FE00AAC">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2.4.3 对监理人的授权范围：</w:t>
      </w:r>
      <w:r>
        <w:rPr>
          <w:rFonts w:hint="eastAsia" w:ascii="宋体" w:hAnsi="宋体" w:cs="宋体"/>
          <w:szCs w:val="21"/>
          <w:u w:val="single"/>
        </w:rPr>
        <w:t xml:space="preserve">    /           </w:t>
      </w:r>
      <w:r>
        <w:rPr>
          <w:rFonts w:hint="eastAsia" w:ascii="宋体" w:hAnsi="宋体" w:cs="宋体"/>
          <w:szCs w:val="21"/>
        </w:rPr>
        <w:t>。</w:t>
      </w:r>
    </w:p>
    <w:p w14:paraId="06D8485D">
      <w:pPr>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在涉及工程延期</w:t>
      </w:r>
      <w:r>
        <w:rPr>
          <w:rFonts w:hint="eastAsia" w:ascii="宋体" w:hAnsi="宋体" w:cs="宋体"/>
          <w:szCs w:val="21"/>
          <w:u w:val="single"/>
        </w:rPr>
        <w:t xml:space="preserve"> /</w:t>
      </w:r>
      <w:r>
        <w:rPr>
          <w:rFonts w:hint="eastAsia" w:ascii="宋体" w:hAnsi="宋体" w:cs="宋体"/>
          <w:kern w:val="0"/>
          <w:szCs w:val="21"/>
        </w:rPr>
        <w:t>天内和（或）金额</w:t>
      </w:r>
      <w:r>
        <w:rPr>
          <w:rFonts w:hint="eastAsia" w:ascii="宋体" w:hAnsi="宋体" w:cs="宋体"/>
          <w:szCs w:val="21"/>
          <w:u w:val="single"/>
        </w:rPr>
        <w:t xml:space="preserve"> /</w:t>
      </w:r>
      <w:r>
        <w:rPr>
          <w:rFonts w:hint="eastAsia" w:ascii="宋体" w:hAnsi="宋体" w:cs="宋体"/>
          <w:kern w:val="0"/>
          <w:szCs w:val="21"/>
        </w:rPr>
        <w:t>万元内的变更，监理人不需请示委托人即可向承包人发布变更通知。</w:t>
      </w:r>
    </w:p>
    <w:p w14:paraId="548AD987">
      <w:pPr>
        <w:adjustRightInd w:val="0"/>
        <w:snapToGrid w:val="0"/>
        <w:spacing w:line="440" w:lineRule="exact"/>
        <w:ind w:firstLine="420" w:firstLineChars="200"/>
        <w:jc w:val="left"/>
        <w:rPr>
          <w:rFonts w:ascii="宋体" w:hAnsi="宋体" w:cs="宋体"/>
          <w:szCs w:val="21"/>
        </w:rPr>
      </w:pPr>
      <w:r>
        <w:rPr>
          <w:rFonts w:hint="eastAsia" w:ascii="宋体" w:hAnsi="宋体" w:cs="宋体"/>
          <w:kern w:val="0"/>
          <w:szCs w:val="21"/>
        </w:rPr>
        <w:t>2.4.4 监理人有权要求承包人调换其人员</w:t>
      </w:r>
      <w:r>
        <w:rPr>
          <w:rFonts w:hint="eastAsia" w:ascii="宋体" w:hAnsi="宋体" w:cs="宋体"/>
          <w:szCs w:val="21"/>
        </w:rPr>
        <w:t xml:space="preserve">的限制条件：。  </w:t>
      </w:r>
    </w:p>
    <w:p w14:paraId="657A4388">
      <w:pPr>
        <w:adjustRightInd w:val="0"/>
        <w:snapToGrid w:val="0"/>
        <w:spacing w:line="440" w:lineRule="exact"/>
        <w:ind w:firstLine="420" w:firstLineChars="200"/>
        <w:jc w:val="left"/>
        <w:rPr>
          <w:rFonts w:ascii="宋体" w:hAnsi="宋体" w:cs="宋体"/>
          <w:szCs w:val="21"/>
        </w:rPr>
      </w:pPr>
      <w:r>
        <w:rPr>
          <w:rFonts w:hint="eastAsia" w:ascii="宋体" w:hAnsi="宋体" w:cs="宋体"/>
          <w:kern w:val="0"/>
          <w:szCs w:val="21"/>
        </w:rPr>
        <w:t xml:space="preserve">2.5 </w:t>
      </w:r>
      <w:r>
        <w:rPr>
          <w:rFonts w:hint="eastAsia" w:ascii="宋体" w:hAnsi="宋体" w:cs="宋体"/>
          <w:szCs w:val="21"/>
        </w:rPr>
        <w:t>提交</w:t>
      </w:r>
      <w:r>
        <w:rPr>
          <w:rFonts w:hint="eastAsia" w:ascii="宋体" w:hAnsi="宋体" w:cs="宋体"/>
          <w:kern w:val="0"/>
          <w:szCs w:val="21"/>
        </w:rPr>
        <w:t>报告</w:t>
      </w:r>
    </w:p>
    <w:p w14:paraId="5E7B5BFB">
      <w:pPr>
        <w:adjustRightInd w:val="0"/>
        <w:snapToGrid w:val="0"/>
        <w:spacing w:line="440" w:lineRule="exact"/>
        <w:ind w:firstLine="420" w:firstLineChars="200"/>
        <w:jc w:val="left"/>
        <w:rPr>
          <w:rFonts w:ascii="宋体" w:hAnsi="宋体" w:cs="宋体"/>
          <w:kern w:val="0"/>
          <w:szCs w:val="21"/>
        </w:rPr>
      </w:pPr>
      <w:r>
        <w:rPr>
          <w:rFonts w:hint="eastAsia" w:ascii="宋体" w:hAnsi="宋体" w:cs="宋体"/>
          <w:szCs w:val="21"/>
        </w:rPr>
        <w:t>监理人应提交报告的种类(</w:t>
      </w:r>
      <w:r>
        <w:rPr>
          <w:rFonts w:hint="eastAsia" w:ascii="宋体" w:hAnsi="宋体" w:cs="宋体"/>
          <w:kern w:val="0"/>
          <w:szCs w:val="21"/>
        </w:rPr>
        <w:t>包括监理规划、监理细则、监理月报、例会纪要、工程影像资料及约定的专项报告)</w:t>
      </w:r>
      <w:r>
        <w:rPr>
          <w:rFonts w:hint="eastAsia" w:ascii="宋体" w:hAnsi="宋体" w:cs="宋体"/>
          <w:szCs w:val="21"/>
        </w:rPr>
        <w:t>、时间和份数</w:t>
      </w:r>
      <w:r>
        <w:rPr>
          <w:rFonts w:hint="eastAsia" w:ascii="宋体" w:hAnsi="宋体" w:cs="宋体"/>
          <w:kern w:val="0"/>
          <w:szCs w:val="21"/>
        </w:rPr>
        <w:t>：</w:t>
      </w:r>
    </w:p>
    <w:p w14:paraId="235344D9">
      <w:pPr>
        <w:adjustRightInd w:val="0"/>
        <w:snapToGrid w:val="0"/>
        <w:spacing w:line="440" w:lineRule="exact"/>
        <w:ind w:firstLine="420" w:firstLineChars="200"/>
        <w:jc w:val="left"/>
        <w:rPr>
          <w:rFonts w:ascii="宋体" w:hAnsi="宋体" w:cs="宋体"/>
          <w:kern w:val="0"/>
          <w:szCs w:val="21"/>
        </w:rPr>
      </w:pPr>
      <w:r>
        <w:rPr>
          <w:rFonts w:hint="eastAsia" w:ascii="宋体" w:hAnsi="宋体" w:cs="宋体"/>
          <w:szCs w:val="21"/>
          <w:u w:val="single"/>
        </w:rPr>
        <w:t>监理规划在开工前提供一式叁份，监理月报每个月5日前提供，不定期的专项报告根据委托人的需要，具体要求包含但不局限于此：</w:t>
      </w:r>
    </w:p>
    <w:p w14:paraId="0DBB6368">
      <w:pPr>
        <w:widowControl/>
        <w:spacing w:line="440" w:lineRule="exact"/>
        <w:ind w:firstLine="422" w:firstLineChars="200"/>
        <w:jc w:val="left"/>
        <w:textAlignment w:val="baseline"/>
        <w:rPr>
          <w:rFonts w:ascii="宋体" w:hAnsi="宋体" w:cs="宋体"/>
          <w:b/>
          <w:szCs w:val="21"/>
        </w:rPr>
      </w:pPr>
      <w:r>
        <w:rPr>
          <w:rFonts w:hint="eastAsia" w:ascii="宋体" w:hAnsi="宋体" w:cs="宋体"/>
          <w:b/>
          <w:szCs w:val="21"/>
        </w:rPr>
        <w:t>2.5.1定期的信息文件——监理月报</w:t>
      </w:r>
    </w:p>
    <w:p w14:paraId="6AC4463E">
      <w:pPr>
        <w:widowControl/>
        <w:spacing w:line="440" w:lineRule="exact"/>
        <w:ind w:firstLine="420" w:firstLineChars="200"/>
        <w:jc w:val="left"/>
        <w:textAlignment w:val="baseline"/>
        <w:rPr>
          <w:rFonts w:ascii="宋体" w:hAnsi="宋体" w:cs="宋体"/>
          <w:szCs w:val="21"/>
        </w:rPr>
      </w:pPr>
      <w:r>
        <w:rPr>
          <w:rFonts w:hint="eastAsia" w:ascii="宋体" w:hAnsi="宋体" w:cs="宋体"/>
          <w:szCs w:val="21"/>
        </w:rPr>
        <w:t>监理月报的主要内容：</w:t>
      </w:r>
    </w:p>
    <w:p w14:paraId="4CD15DE9">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项目概述：包括项目位置、项目主要特征及合同情况简介。</w:t>
      </w:r>
    </w:p>
    <w:p w14:paraId="476AC2AA">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大事记。</w:t>
      </w:r>
    </w:p>
    <w:p w14:paraId="186C0AA5">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工程进度与形象面貌。</w:t>
      </w:r>
    </w:p>
    <w:p w14:paraId="0C42905B">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资金到位和使用情况。</w:t>
      </w:r>
    </w:p>
    <w:p w14:paraId="50855951">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质量控制：</w:t>
      </w:r>
      <w:r>
        <w:rPr>
          <w:rFonts w:hint="eastAsia" w:ascii="宋体" w:hAnsi="宋体" w:cs="宋体"/>
          <w:b/>
          <w:szCs w:val="21"/>
        </w:rPr>
        <w:t>包括所有检验批的100%实量实测</w:t>
      </w:r>
      <w:r>
        <w:rPr>
          <w:rFonts w:hint="eastAsia" w:ascii="宋体" w:hAnsi="宋体" w:cs="宋体"/>
          <w:szCs w:val="21"/>
        </w:rPr>
        <w:t>、质量评定、质量分析、质量事故处理等情况。</w:t>
      </w:r>
    </w:p>
    <w:p w14:paraId="52E2C994">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合同执行情况：包括合同变更、索赔和违约等。</w:t>
      </w:r>
    </w:p>
    <w:p w14:paraId="5F391C48">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现场会议和往来信函：包括会议记录、往来信函。</w:t>
      </w:r>
    </w:p>
    <w:p w14:paraId="7EE460E9">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监理工作：包括监理组织框图、资源投入、重要监理活动、图纸审查、发放、技术方案审查、工程需要解决的问题和其他事项。</w:t>
      </w:r>
    </w:p>
    <w:p w14:paraId="70526291">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施工人情况：包括劳动力的动态、投入的设备、组织管理和存在的问题。</w:t>
      </w:r>
    </w:p>
    <w:p w14:paraId="459C873B">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安全和环境保护、安全文明措施费用的使用执行情况。</w:t>
      </w:r>
    </w:p>
    <w:p w14:paraId="787FB593">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进度款支付情况。</w:t>
      </w:r>
    </w:p>
    <w:p w14:paraId="1A7F9D93">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工程进展图片（工程实施过程的旁站、材料验收、隐蔽验收、分部分项验收等影像资料）。</w:t>
      </w:r>
    </w:p>
    <w:p w14:paraId="112BCCE5">
      <w:pPr>
        <w:widowControl/>
        <w:numPr>
          <w:ilvl w:val="0"/>
          <w:numId w:val="10"/>
        </w:numPr>
        <w:spacing w:line="440" w:lineRule="exact"/>
        <w:jc w:val="left"/>
        <w:textAlignment w:val="baseline"/>
        <w:rPr>
          <w:rFonts w:ascii="宋体" w:hAnsi="宋体" w:cs="宋体"/>
          <w:szCs w:val="21"/>
        </w:rPr>
      </w:pPr>
      <w:r>
        <w:rPr>
          <w:rFonts w:hint="eastAsia" w:ascii="宋体" w:hAnsi="宋体" w:cs="宋体"/>
          <w:szCs w:val="21"/>
        </w:rPr>
        <w:t>其他。</w:t>
      </w:r>
    </w:p>
    <w:p w14:paraId="7AA1622D">
      <w:pPr>
        <w:widowControl/>
        <w:spacing w:line="440" w:lineRule="exact"/>
        <w:ind w:firstLine="422" w:firstLineChars="200"/>
        <w:jc w:val="left"/>
        <w:textAlignment w:val="baseline"/>
        <w:rPr>
          <w:rFonts w:ascii="宋体" w:hAnsi="宋体" w:cs="宋体"/>
          <w:b/>
          <w:szCs w:val="21"/>
        </w:rPr>
      </w:pPr>
      <w:r>
        <w:rPr>
          <w:rFonts w:hint="eastAsia" w:ascii="宋体" w:hAnsi="宋体" w:cs="宋体"/>
          <w:b/>
          <w:szCs w:val="21"/>
        </w:rPr>
        <w:t>2.5.2不定期的监理工作报告</w:t>
      </w:r>
    </w:p>
    <w:p w14:paraId="330A6F75">
      <w:pPr>
        <w:widowControl/>
        <w:numPr>
          <w:ilvl w:val="0"/>
          <w:numId w:val="11"/>
        </w:numPr>
        <w:spacing w:line="440" w:lineRule="exact"/>
        <w:jc w:val="left"/>
        <w:textAlignment w:val="baseline"/>
        <w:rPr>
          <w:rFonts w:ascii="宋体" w:hAnsi="宋体" w:cs="宋体"/>
          <w:szCs w:val="21"/>
        </w:rPr>
      </w:pPr>
      <w:r>
        <w:rPr>
          <w:rFonts w:hint="eastAsia" w:ascii="宋体" w:hAnsi="宋体" w:cs="宋体"/>
          <w:szCs w:val="21"/>
        </w:rPr>
        <w:t>关于工程优化设计、工程变更的建议。</w:t>
      </w:r>
    </w:p>
    <w:p w14:paraId="49737FF5">
      <w:pPr>
        <w:widowControl/>
        <w:numPr>
          <w:ilvl w:val="0"/>
          <w:numId w:val="11"/>
        </w:numPr>
        <w:spacing w:line="440" w:lineRule="exact"/>
        <w:jc w:val="left"/>
        <w:textAlignment w:val="baseline"/>
        <w:rPr>
          <w:rFonts w:ascii="宋体" w:hAnsi="宋体" w:cs="宋体"/>
          <w:szCs w:val="21"/>
        </w:rPr>
      </w:pPr>
      <w:r>
        <w:rPr>
          <w:rFonts w:hint="eastAsia" w:ascii="宋体" w:hAnsi="宋体" w:cs="宋体"/>
          <w:szCs w:val="21"/>
        </w:rPr>
        <w:t>投资情况分析预测及资金、资源的合理配置和投入的建议。</w:t>
      </w:r>
    </w:p>
    <w:p w14:paraId="3CB866AD">
      <w:pPr>
        <w:widowControl/>
        <w:numPr>
          <w:ilvl w:val="0"/>
          <w:numId w:val="11"/>
        </w:numPr>
        <w:spacing w:line="440" w:lineRule="exact"/>
        <w:jc w:val="left"/>
        <w:textAlignment w:val="baseline"/>
        <w:rPr>
          <w:rFonts w:ascii="宋体" w:hAnsi="宋体" w:cs="宋体"/>
          <w:szCs w:val="21"/>
        </w:rPr>
      </w:pPr>
      <w:r>
        <w:rPr>
          <w:rFonts w:hint="eastAsia" w:ascii="宋体" w:hAnsi="宋体" w:cs="宋体"/>
          <w:szCs w:val="21"/>
        </w:rPr>
        <w:t>工程进度预测分析报告。</w:t>
      </w:r>
    </w:p>
    <w:p w14:paraId="17592C60">
      <w:pPr>
        <w:widowControl/>
        <w:spacing w:line="440" w:lineRule="exact"/>
        <w:ind w:firstLine="422" w:firstLineChars="200"/>
        <w:jc w:val="left"/>
        <w:textAlignment w:val="baseline"/>
        <w:rPr>
          <w:rFonts w:ascii="宋体" w:hAnsi="宋体" w:cs="宋体"/>
          <w:b/>
          <w:szCs w:val="21"/>
        </w:rPr>
      </w:pPr>
      <w:r>
        <w:rPr>
          <w:rFonts w:hint="eastAsia" w:ascii="宋体" w:hAnsi="宋体" w:cs="宋体"/>
          <w:b/>
          <w:szCs w:val="21"/>
        </w:rPr>
        <w:t>2.5.3日常监理文件</w:t>
      </w:r>
    </w:p>
    <w:p w14:paraId="666B7F01">
      <w:pPr>
        <w:widowControl/>
        <w:numPr>
          <w:ilvl w:val="0"/>
          <w:numId w:val="12"/>
        </w:numPr>
        <w:spacing w:line="440" w:lineRule="exact"/>
        <w:jc w:val="left"/>
        <w:textAlignment w:val="baseline"/>
        <w:rPr>
          <w:rFonts w:ascii="宋体" w:hAnsi="宋体" w:cs="宋体"/>
          <w:szCs w:val="21"/>
        </w:rPr>
      </w:pPr>
      <w:r>
        <w:rPr>
          <w:rFonts w:hint="eastAsia" w:ascii="宋体" w:hAnsi="宋体" w:cs="宋体"/>
          <w:szCs w:val="21"/>
        </w:rPr>
        <w:t>监理日记、</w:t>
      </w:r>
      <w:r>
        <w:rPr>
          <w:rFonts w:hint="eastAsia" w:ascii="宋体" w:hAnsi="宋体" w:cs="宋体"/>
          <w:b/>
          <w:szCs w:val="21"/>
        </w:rPr>
        <w:t>安全检查整改记录</w:t>
      </w:r>
      <w:r>
        <w:rPr>
          <w:rFonts w:hint="eastAsia" w:ascii="宋体" w:hAnsi="宋体" w:cs="宋体"/>
          <w:szCs w:val="21"/>
        </w:rPr>
        <w:t>及施工大事记。</w:t>
      </w:r>
    </w:p>
    <w:p w14:paraId="4BBB0E6A">
      <w:pPr>
        <w:widowControl/>
        <w:numPr>
          <w:ilvl w:val="0"/>
          <w:numId w:val="12"/>
        </w:numPr>
        <w:spacing w:line="440" w:lineRule="exact"/>
        <w:jc w:val="left"/>
        <w:textAlignment w:val="baseline"/>
        <w:rPr>
          <w:rFonts w:ascii="宋体" w:hAnsi="宋体" w:cs="宋体"/>
          <w:szCs w:val="21"/>
        </w:rPr>
      </w:pPr>
      <w:r>
        <w:rPr>
          <w:rFonts w:hint="eastAsia" w:ascii="宋体" w:hAnsi="宋体" w:cs="宋体"/>
          <w:szCs w:val="21"/>
        </w:rPr>
        <w:t>施工计划批复文件。</w:t>
      </w:r>
    </w:p>
    <w:p w14:paraId="490EB05A">
      <w:pPr>
        <w:widowControl/>
        <w:numPr>
          <w:ilvl w:val="0"/>
          <w:numId w:val="12"/>
        </w:numPr>
        <w:spacing w:line="440" w:lineRule="exact"/>
        <w:jc w:val="left"/>
        <w:textAlignment w:val="baseline"/>
        <w:rPr>
          <w:rFonts w:ascii="宋体" w:hAnsi="宋体" w:cs="宋体"/>
          <w:szCs w:val="21"/>
        </w:rPr>
      </w:pPr>
      <w:r>
        <w:rPr>
          <w:rFonts w:hint="eastAsia" w:ascii="宋体" w:hAnsi="宋体" w:cs="宋体"/>
          <w:szCs w:val="21"/>
        </w:rPr>
        <w:t>施工措施批复文件。</w:t>
      </w:r>
    </w:p>
    <w:p w14:paraId="6AA3CB2F">
      <w:pPr>
        <w:widowControl/>
        <w:numPr>
          <w:ilvl w:val="0"/>
          <w:numId w:val="12"/>
        </w:numPr>
        <w:spacing w:line="440" w:lineRule="exact"/>
        <w:jc w:val="left"/>
        <w:textAlignment w:val="baseline"/>
        <w:rPr>
          <w:rFonts w:ascii="宋体" w:hAnsi="宋体" w:cs="宋体"/>
          <w:szCs w:val="21"/>
        </w:rPr>
      </w:pPr>
      <w:r>
        <w:rPr>
          <w:rFonts w:hint="eastAsia" w:ascii="宋体" w:hAnsi="宋体" w:cs="宋体"/>
          <w:szCs w:val="21"/>
        </w:rPr>
        <w:t>施工进度调整批复文件。</w:t>
      </w:r>
    </w:p>
    <w:p w14:paraId="5F28BA01">
      <w:pPr>
        <w:widowControl/>
        <w:numPr>
          <w:ilvl w:val="0"/>
          <w:numId w:val="12"/>
        </w:numPr>
        <w:spacing w:line="440" w:lineRule="exact"/>
        <w:jc w:val="left"/>
        <w:textAlignment w:val="baseline"/>
        <w:rPr>
          <w:rFonts w:ascii="宋体" w:hAnsi="宋体" w:cs="宋体"/>
          <w:szCs w:val="21"/>
        </w:rPr>
      </w:pPr>
      <w:r>
        <w:rPr>
          <w:rFonts w:hint="eastAsia" w:ascii="宋体" w:hAnsi="宋体" w:cs="宋体"/>
          <w:szCs w:val="21"/>
        </w:rPr>
        <w:t>进度款支付确认文件。</w:t>
      </w:r>
    </w:p>
    <w:p w14:paraId="468E7C27">
      <w:pPr>
        <w:widowControl/>
        <w:numPr>
          <w:ilvl w:val="0"/>
          <w:numId w:val="12"/>
        </w:numPr>
        <w:spacing w:line="440" w:lineRule="exact"/>
        <w:jc w:val="left"/>
        <w:textAlignment w:val="baseline"/>
        <w:rPr>
          <w:rFonts w:ascii="宋体" w:hAnsi="宋体" w:cs="宋体"/>
          <w:szCs w:val="21"/>
        </w:rPr>
      </w:pPr>
      <w:r>
        <w:rPr>
          <w:rFonts w:hint="eastAsia" w:ascii="宋体" w:hAnsi="宋体" w:cs="宋体"/>
          <w:szCs w:val="21"/>
        </w:rPr>
        <w:t>索赔受理、调查及处理文件。</w:t>
      </w:r>
    </w:p>
    <w:p w14:paraId="5884B6D1">
      <w:pPr>
        <w:widowControl/>
        <w:numPr>
          <w:ilvl w:val="0"/>
          <w:numId w:val="12"/>
        </w:numPr>
        <w:spacing w:line="440" w:lineRule="exact"/>
        <w:jc w:val="left"/>
        <w:textAlignment w:val="baseline"/>
        <w:rPr>
          <w:rFonts w:ascii="宋体" w:hAnsi="宋体" w:cs="宋体"/>
          <w:szCs w:val="21"/>
        </w:rPr>
      </w:pPr>
      <w:r>
        <w:rPr>
          <w:rFonts w:hint="eastAsia" w:ascii="宋体" w:hAnsi="宋体" w:cs="宋体"/>
          <w:szCs w:val="21"/>
        </w:rPr>
        <w:t>监理协调会议纪要文件。</w:t>
      </w:r>
    </w:p>
    <w:p w14:paraId="604E6F53">
      <w:pPr>
        <w:widowControl/>
        <w:numPr>
          <w:ilvl w:val="0"/>
          <w:numId w:val="12"/>
        </w:numPr>
        <w:spacing w:line="440" w:lineRule="exact"/>
        <w:jc w:val="left"/>
        <w:textAlignment w:val="baseline"/>
        <w:rPr>
          <w:rFonts w:ascii="宋体" w:hAnsi="宋体" w:cs="宋体"/>
          <w:szCs w:val="21"/>
        </w:rPr>
      </w:pPr>
      <w:r>
        <w:rPr>
          <w:rFonts w:hint="eastAsia" w:ascii="宋体" w:hAnsi="宋体" w:cs="宋体"/>
          <w:szCs w:val="21"/>
        </w:rPr>
        <w:t>其他监理业务往来文件。</w:t>
      </w:r>
    </w:p>
    <w:p w14:paraId="7ACC9C79">
      <w:pPr>
        <w:widowControl/>
        <w:spacing w:line="440" w:lineRule="exact"/>
        <w:ind w:firstLine="422" w:firstLineChars="200"/>
        <w:jc w:val="left"/>
        <w:textAlignment w:val="baseline"/>
        <w:rPr>
          <w:rFonts w:ascii="宋体" w:hAnsi="宋体" w:cs="宋体"/>
          <w:b/>
          <w:sz w:val="24"/>
        </w:rPr>
      </w:pPr>
      <w:r>
        <w:rPr>
          <w:rFonts w:hint="eastAsia" w:ascii="宋体" w:hAnsi="宋体" w:cs="宋体"/>
          <w:b/>
          <w:szCs w:val="21"/>
        </w:rPr>
        <w:t>2.5.4文件报送份数：</w:t>
      </w:r>
      <w:r>
        <w:rPr>
          <w:rFonts w:hint="eastAsia" w:ascii="宋体" w:hAnsi="宋体" w:cs="宋体"/>
          <w:b/>
          <w:szCs w:val="21"/>
          <w:u w:val="single"/>
        </w:rPr>
        <w:t>根据招标人的需要另定</w:t>
      </w:r>
      <w:r>
        <w:rPr>
          <w:rFonts w:hint="eastAsia" w:ascii="宋体" w:hAnsi="宋体" w:cs="宋体"/>
          <w:b/>
          <w:sz w:val="24"/>
        </w:rPr>
        <w:t>。</w:t>
      </w:r>
    </w:p>
    <w:p w14:paraId="14A6F11A">
      <w:pPr>
        <w:spacing w:line="440" w:lineRule="exact"/>
        <w:ind w:firstLine="420" w:firstLineChars="200"/>
        <w:jc w:val="left"/>
        <w:rPr>
          <w:rFonts w:ascii="宋体" w:hAnsi="宋体" w:cs="宋体"/>
          <w:kern w:val="0"/>
          <w:szCs w:val="21"/>
        </w:rPr>
      </w:pPr>
      <w:r>
        <w:rPr>
          <w:rFonts w:hint="eastAsia" w:ascii="宋体" w:hAnsi="宋体" w:cs="宋体"/>
          <w:kern w:val="0"/>
          <w:szCs w:val="21"/>
        </w:rPr>
        <w:t>2.7 使用委托人的财产</w:t>
      </w:r>
    </w:p>
    <w:p w14:paraId="52D280F9">
      <w:pPr>
        <w:spacing w:line="440" w:lineRule="exact"/>
        <w:ind w:firstLine="420" w:firstLineChars="200"/>
        <w:jc w:val="left"/>
        <w:rPr>
          <w:rFonts w:ascii="宋体" w:hAnsi="宋体" w:cs="宋体"/>
          <w:kern w:val="0"/>
          <w:szCs w:val="21"/>
        </w:rPr>
      </w:pPr>
      <w:r>
        <w:rPr>
          <w:rFonts w:hint="eastAsia" w:ascii="宋体" w:hAnsi="宋体" w:cs="宋体"/>
          <w:szCs w:val="21"/>
        </w:rPr>
        <w:t>附录B中由委托人无偿提供的房屋、设备的所有权属于：</w:t>
      </w:r>
      <w:r>
        <w:rPr>
          <w:rFonts w:hint="eastAsia" w:ascii="宋体" w:hAnsi="宋体" w:cs="宋体"/>
          <w:szCs w:val="21"/>
          <w:u w:val="single"/>
        </w:rPr>
        <w:t xml:space="preserve">   委托人  </w:t>
      </w:r>
      <w:r>
        <w:rPr>
          <w:rFonts w:hint="eastAsia" w:ascii="宋体" w:hAnsi="宋体" w:cs="宋体"/>
          <w:szCs w:val="21"/>
        </w:rPr>
        <w:t>。</w:t>
      </w:r>
    </w:p>
    <w:p w14:paraId="3D2BC29D">
      <w:pPr>
        <w:spacing w:line="440" w:lineRule="exact"/>
        <w:ind w:firstLine="420" w:firstLineChars="200"/>
        <w:jc w:val="left"/>
        <w:rPr>
          <w:rFonts w:ascii="宋体" w:hAnsi="宋体" w:cs="宋体"/>
          <w:kern w:val="0"/>
          <w:szCs w:val="21"/>
        </w:rPr>
      </w:pPr>
      <w:r>
        <w:rPr>
          <w:rFonts w:hint="eastAsia" w:ascii="宋体" w:hAnsi="宋体" w:cs="宋体"/>
          <w:szCs w:val="21"/>
        </w:rPr>
        <w:t>监理人应在本合同终止后</w:t>
      </w:r>
      <w:r>
        <w:rPr>
          <w:rFonts w:hint="eastAsia" w:ascii="宋体" w:hAnsi="宋体" w:cs="宋体"/>
          <w:szCs w:val="21"/>
          <w:u w:val="single"/>
        </w:rPr>
        <w:t xml:space="preserve"> 3  </w:t>
      </w:r>
      <w:r>
        <w:rPr>
          <w:rFonts w:hint="eastAsia" w:ascii="宋体" w:hAnsi="宋体" w:cs="宋体"/>
          <w:szCs w:val="21"/>
        </w:rPr>
        <w:t>天内移交委托人无偿提供的房屋、设备，移交的时间和方式为：</w:t>
      </w:r>
      <w:r>
        <w:rPr>
          <w:rFonts w:hint="eastAsia" w:ascii="宋体" w:hAnsi="宋体" w:cs="宋体"/>
          <w:szCs w:val="21"/>
          <w:u w:val="single"/>
        </w:rPr>
        <w:t xml:space="preserve">   现场移交 </w:t>
      </w:r>
      <w:r>
        <w:rPr>
          <w:rFonts w:hint="eastAsia" w:ascii="宋体" w:hAnsi="宋体" w:cs="宋体"/>
          <w:szCs w:val="21"/>
        </w:rPr>
        <w:t>。</w:t>
      </w:r>
    </w:p>
    <w:p w14:paraId="5DEFA8FD">
      <w:pPr>
        <w:keepNext/>
        <w:keepLines/>
        <w:spacing w:line="440" w:lineRule="exact"/>
        <w:ind w:firstLine="480" w:firstLineChars="200"/>
        <w:jc w:val="left"/>
        <w:outlineLvl w:val="2"/>
        <w:rPr>
          <w:rFonts w:ascii="宋体" w:hAnsi="宋体" w:cs="宋体"/>
          <w:bCs/>
          <w:kern w:val="0"/>
          <w:sz w:val="24"/>
          <w:szCs w:val="32"/>
        </w:rPr>
      </w:pPr>
      <w:bookmarkStart w:id="66" w:name="_Toc398107912"/>
      <w:r>
        <w:rPr>
          <w:rFonts w:hint="eastAsia" w:ascii="宋体" w:hAnsi="宋体" w:cs="宋体"/>
          <w:bCs/>
          <w:kern w:val="0"/>
          <w:sz w:val="24"/>
          <w:szCs w:val="32"/>
        </w:rPr>
        <w:t>3. 委托人义务</w:t>
      </w:r>
      <w:bookmarkEnd w:id="66"/>
    </w:p>
    <w:p w14:paraId="779FD387">
      <w:pPr>
        <w:snapToGrid w:val="0"/>
        <w:spacing w:line="440" w:lineRule="exact"/>
        <w:ind w:firstLine="420" w:firstLineChars="200"/>
        <w:jc w:val="left"/>
        <w:rPr>
          <w:rFonts w:ascii="宋体" w:hAnsi="宋体" w:cs="宋体"/>
          <w:szCs w:val="21"/>
        </w:rPr>
      </w:pPr>
      <w:r>
        <w:rPr>
          <w:rFonts w:hint="eastAsia" w:ascii="宋体" w:hAnsi="宋体" w:cs="宋体"/>
          <w:kern w:val="0"/>
          <w:szCs w:val="21"/>
        </w:rPr>
        <w:t>3.4 委托人代表</w:t>
      </w:r>
    </w:p>
    <w:p w14:paraId="12DD5D43">
      <w:pPr>
        <w:adjustRightInd w:val="0"/>
        <w:snapToGrid w:val="0"/>
        <w:spacing w:line="440" w:lineRule="exact"/>
        <w:ind w:firstLine="420" w:firstLineChars="200"/>
        <w:jc w:val="left"/>
        <w:rPr>
          <w:rFonts w:ascii="宋体" w:hAnsi="宋体" w:cs="宋体"/>
          <w:szCs w:val="21"/>
          <w:u w:val="single"/>
        </w:rPr>
      </w:pPr>
      <w:r>
        <w:rPr>
          <w:rFonts w:hint="eastAsia" w:ascii="宋体" w:hAnsi="宋体" w:cs="宋体"/>
          <w:szCs w:val="21"/>
        </w:rPr>
        <w:t>委托人代表为：。</w:t>
      </w:r>
    </w:p>
    <w:p w14:paraId="59C231B3">
      <w:pPr>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3.6 答复</w:t>
      </w:r>
    </w:p>
    <w:p w14:paraId="028C9860">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委托人同意在</w:t>
      </w:r>
      <w:r>
        <w:rPr>
          <w:rFonts w:hint="eastAsia" w:ascii="宋体" w:hAnsi="宋体" w:cs="宋体"/>
          <w:szCs w:val="21"/>
          <w:u w:val="single"/>
        </w:rPr>
        <w:t xml:space="preserve">  3  </w:t>
      </w:r>
      <w:r>
        <w:rPr>
          <w:rFonts w:hint="eastAsia" w:ascii="宋体" w:hAnsi="宋体" w:cs="宋体"/>
          <w:szCs w:val="21"/>
        </w:rPr>
        <w:t>天内，对监理人书面提交并要求做出决定的事宜给予书面答复。</w:t>
      </w:r>
    </w:p>
    <w:p w14:paraId="5B34FF87">
      <w:pPr>
        <w:keepNext/>
        <w:keepLines/>
        <w:spacing w:line="440" w:lineRule="exact"/>
        <w:ind w:firstLine="480" w:firstLineChars="200"/>
        <w:jc w:val="left"/>
        <w:outlineLvl w:val="2"/>
        <w:rPr>
          <w:rFonts w:ascii="宋体" w:hAnsi="宋体" w:cs="宋体"/>
          <w:bCs/>
          <w:kern w:val="0"/>
          <w:sz w:val="24"/>
          <w:szCs w:val="32"/>
        </w:rPr>
      </w:pPr>
      <w:bookmarkStart w:id="67" w:name="_Toc398107913"/>
      <w:r>
        <w:rPr>
          <w:rFonts w:hint="eastAsia" w:ascii="宋体" w:hAnsi="宋体" w:cs="宋体"/>
          <w:bCs/>
          <w:kern w:val="0"/>
          <w:sz w:val="24"/>
          <w:szCs w:val="32"/>
        </w:rPr>
        <w:t>4. 违约责任</w:t>
      </w:r>
      <w:bookmarkEnd w:id="67"/>
    </w:p>
    <w:p w14:paraId="387DE6D1">
      <w:pPr>
        <w:spacing w:line="440" w:lineRule="exact"/>
        <w:ind w:firstLine="420" w:firstLineChars="200"/>
        <w:jc w:val="left"/>
        <w:rPr>
          <w:rFonts w:ascii="宋体" w:hAnsi="宋体" w:cs="宋体"/>
          <w:kern w:val="0"/>
          <w:szCs w:val="21"/>
        </w:rPr>
      </w:pPr>
      <w:r>
        <w:rPr>
          <w:rFonts w:hint="eastAsia" w:ascii="宋体" w:hAnsi="宋体" w:cs="宋体"/>
          <w:kern w:val="0"/>
          <w:szCs w:val="21"/>
        </w:rPr>
        <w:t>4.1 监理人的违约责任</w:t>
      </w:r>
    </w:p>
    <w:p w14:paraId="42AB69BD">
      <w:pPr>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4.1.1监理人赔偿金额按下列方法确定：</w:t>
      </w:r>
    </w:p>
    <w:p w14:paraId="7D22336B">
      <w:pPr>
        <w:widowControl/>
        <w:spacing w:line="440" w:lineRule="exact"/>
        <w:ind w:firstLine="422" w:firstLineChars="200"/>
        <w:jc w:val="left"/>
        <w:rPr>
          <w:rFonts w:ascii="宋体" w:hAnsi="宋体" w:cs="宋体"/>
          <w:b/>
          <w:kern w:val="0"/>
          <w:sz w:val="24"/>
          <w:u w:val="single"/>
        </w:rPr>
      </w:pPr>
      <w:r>
        <w:rPr>
          <w:rFonts w:hint="eastAsia" w:ascii="宋体" w:hAnsi="宋体" w:cs="宋体"/>
          <w:b/>
          <w:kern w:val="0"/>
          <w:szCs w:val="21"/>
          <w:u w:val="single"/>
        </w:rPr>
        <w:t>中标单位必须按投标文件承诺的监理部成员到位并接受发包人的考勤管理，发包人标后监管工作组将不定期抽查，抽查结果将严格按奖惩办法执行。</w:t>
      </w:r>
    </w:p>
    <w:p w14:paraId="206D63A6">
      <w:pPr>
        <w:numPr>
          <w:ilvl w:val="0"/>
          <w:numId w:val="13"/>
        </w:numPr>
        <w:spacing w:line="440" w:lineRule="exact"/>
        <w:jc w:val="left"/>
        <w:rPr>
          <w:rFonts w:ascii="宋体" w:hAnsi="宋体" w:cs="宋体"/>
          <w:kern w:val="0"/>
          <w:szCs w:val="21"/>
        </w:rPr>
      </w:pPr>
      <w:r>
        <w:rPr>
          <w:rFonts w:hint="eastAsia" w:ascii="宋体" w:hAnsi="宋体" w:cs="宋体"/>
          <w:kern w:val="0"/>
          <w:szCs w:val="21"/>
        </w:rPr>
        <w:t>监理部必须在工程开工前进驻现场，如开工十五天内未按投标文件的的承诺组织相应人员与设备进场的，委托方有权终止合同，并将该单位列入禁止准入单位档案。</w:t>
      </w:r>
    </w:p>
    <w:p w14:paraId="5BA14A7C">
      <w:pPr>
        <w:numPr>
          <w:ilvl w:val="0"/>
          <w:numId w:val="13"/>
        </w:numPr>
        <w:spacing w:line="440" w:lineRule="exact"/>
        <w:jc w:val="left"/>
        <w:rPr>
          <w:rFonts w:ascii="宋体" w:hAnsi="宋体" w:cs="宋体"/>
          <w:kern w:val="0"/>
          <w:szCs w:val="21"/>
        </w:rPr>
      </w:pPr>
      <w:r>
        <w:rPr>
          <w:rFonts w:hint="eastAsia" w:ascii="宋体" w:hAnsi="宋体" w:cs="宋体"/>
          <w:b/>
          <w:kern w:val="0"/>
          <w:szCs w:val="21"/>
          <w:u w:val="single"/>
        </w:rPr>
        <w:t>总监理工程师每月必须有25天满8小时在施工现场，否则每缺勤一天罚款2000元；</w:t>
      </w:r>
    </w:p>
    <w:p w14:paraId="0DB93C24">
      <w:pPr>
        <w:numPr>
          <w:ilvl w:val="0"/>
          <w:numId w:val="13"/>
        </w:numPr>
        <w:spacing w:line="440" w:lineRule="exact"/>
        <w:jc w:val="left"/>
        <w:rPr>
          <w:rFonts w:ascii="宋体" w:hAnsi="宋体" w:cs="宋体"/>
          <w:b/>
          <w:kern w:val="0"/>
          <w:szCs w:val="21"/>
          <w:u w:val="single"/>
        </w:rPr>
      </w:pPr>
      <w:r>
        <w:rPr>
          <w:rFonts w:hint="eastAsia" w:ascii="宋体" w:hAnsi="宋体" w:cs="宋体"/>
          <w:b/>
          <w:kern w:val="0"/>
          <w:szCs w:val="21"/>
          <w:u w:val="single"/>
        </w:rPr>
        <w:t>专业监理工程师每月有25天满8小时在施工现场，否则每缺勤一天罚款1000元/次；</w:t>
      </w:r>
    </w:p>
    <w:p w14:paraId="473B2CD4">
      <w:pPr>
        <w:numPr>
          <w:ilvl w:val="0"/>
          <w:numId w:val="13"/>
        </w:numPr>
        <w:spacing w:line="440" w:lineRule="exact"/>
        <w:jc w:val="left"/>
        <w:rPr>
          <w:rFonts w:ascii="宋体" w:hAnsi="宋体" w:cs="宋体"/>
          <w:b/>
          <w:kern w:val="0"/>
          <w:szCs w:val="21"/>
          <w:u w:val="single"/>
        </w:rPr>
      </w:pPr>
      <w:r>
        <w:rPr>
          <w:rFonts w:hint="eastAsia" w:ascii="宋体" w:hAnsi="宋体" w:cs="宋体"/>
          <w:b/>
          <w:kern w:val="0"/>
          <w:szCs w:val="21"/>
          <w:u w:val="single"/>
        </w:rPr>
        <w:t>其他人员每月有25天满8小时在施工现场，否则每缺勤一天罚款500元/次；</w:t>
      </w:r>
    </w:p>
    <w:p w14:paraId="2CA9B952">
      <w:pPr>
        <w:numPr>
          <w:ilvl w:val="0"/>
          <w:numId w:val="13"/>
        </w:numPr>
        <w:spacing w:line="440" w:lineRule="exact"/>
        <w:jc w:val="left"/>
        <w:rPr>
          <w:rFonts w:ascii="宋体" w:hAnsi="宋体" w:cs="宋体"/>
          <w:kern w:val="0"/>
          <w:szCs w:val="21"/>
        </w:rPr>
      </w:pPr>
      <w:r>
        <w:rPr>
          <w:rFonts w:hint="eastAsia" w:ascii="宋体" w:hAnsi="宋体" w:cs="宋体"/>
          <w:kern w:val="0"/>
          <w:szCs w:val="21"/>
        </w:rPr>
        <w:t>旁站在关键部位施工时必须24小时在场（提供影像资料），否则罚款2000元/次；</w:t>
      </w:r>
    </w:p>
    <w:p w14:paraId="5E247891">
      <w:pPr>
        <w:numPr>
          <w:ilvl w:val="0"/>
          <w:numId w:val="13"/>
        </w:numPr>
        <w:spacing w:line="440" w:lineRule="exact"/>
        <w:jc w:val="left"/>
        <w:rPr>
          <w:rFonts w:ascii="宋体" w:hAnsi="宋体" w:cs="宋体"/>
          <w:kern w:val="0"/>
          <w:szCs w:val="21"/>
        </w:rPr>
      </w:pPr>
      <w:r>
        <w:rPr>
          <w:rFonts w:hint="eastAsia" w:ascii="宋体" w:hAnsi="宋体" w:cs="宋体"/>
          <w:kern w:val="0"/>
          <w:szCs w:val="21"/>
        </w:rPr>
        <w:t>计量工程师计量出现严重偏差，每出现一次扣合同监理费的5%；</w:t>
      </w:r>
    </w:p>
    <w:p w14:paraId="40F4D77E">
      <w:pPr>
        <w:numPr>
          <w:ilvl w:val="0"/>
          <w:numId w:val="13"/>
        </w:numPr>
        <w:spacing w:line="440" w:lineRule="exact"/>
        <w:jc w:val="left"/>
        <w:rPr>
          <w:rFonts w:ascii="宋体" w:hAnsi="宋体" w:cs="宋体"/>
          <w:kern w:val="0"/>
          <w:szCs w:val="21"/>
        </w:rPr>
      </w:pPr>
      <w:r>
        <w:rPr>
          <w:rFonts w:hint="eastAsia" w:ascii="宋体" w:hAnsi="宋体" w:cs="宋体"/>
          <w:kern w:val="0"/>
          <w:szCs w:val="21"/>
        </w:rPr>
        <w:t>甲方现场代表现场发现施工质量问题，而监理此前未指出或未整改的，每次罚款1000元，超过三次后，每次罚款2000元，超过5次业主有权终止合同并进行索赔的权利。</w:t>
      </w:r>
    </w:p>
    <w:p w14:paraId="73C824BF">
      <w:pPr>
        <w:numPr>
          <w:ilvl w:val="0"/>
          <w:numId w:val="13"/>
        </w:numPr>
        <w:spacing w:line="440" w:lineRule="exact"/>
        <w:jc w:val="left"/>
        <w:rPr>
          <w:rFonts w:ascii="宋体" w:hAnsi="宋体" w:cs="宋体"/>
          <w:kern w:val="0"/>
          <w:szCs w:val="21"/>
        </w:rPr>
      </w:pPr>
      <w:r>
        <w:rPr>
          <w:rFonts w:hint="eastAsia" w:ascii="宋体" w:hAnsi="宋体" w:cs="宋体"/>
          <w:kern w:val="0"/>
          <w:szCs w:val="21"/>
        </w:rPr>
        <w:t>拖延签认合格工程资料，罚款1000元/次。</w:t>
      </w:r>
    </w:p>
    <w:p w14:paraId="79302A67">
      <w:pPr>
        <w:numPr>
          <w:ilvl w:val="0"/>
          <w:numId w:val="13"/>
        </w:numPr>
        <w:spacing w:line="440" w:lineRule="exact"/>
        <w:jc w:val="left"/>
        <w:rPr>
          <w:rFonts w:ascii="宋体" w:hAnsi="宋体" w:cs="宋体"/>
          <w:kern w:val="0"/>
          <w:szCs w:val="21"/>
        </w:rPr>
      </w:pPr>
      <w:r>
        <w:rPr>
          <w:rFonts w:hint="eastAsia" w:ascii="宋体" w:hAnsi="宋体" w:cs="宋体"/>
          <w:kern w:val="0"/>
          <w:szCs w:val="21"/>
        </w:rPr>
        <w:t>施工单位进场的主要材料未见证送检、未进场验收或未及时验收（提供影像资料）的每次罚款1000元。</w:t>
      </w:r>
    </w:p>
    <w:p w14:paraId="5DA5956B">
      <w:pPr>
        <w:numPr>
          <w:ilvl w:val="0"/>
          <w:numId w:val="13"/>
        </w:numPr>
        <w:spacing w:line="440" w:lineRule="exact"/>
        <w:jc w:val="left"/>
        <w:rPr>
          <w:rFonts w:ascii="宋体" w:hAnsi="宋体" w:cs="宋体"/>
          <w:kern w:val="0"/>
          <w:szCs w:val="21"/>
        </w:rPr>
      </w:pPr>
      <w:r>
        <w:rPr>
          <w:rFonts w:hint="eastAsia" w:ascii="宋体" w:hAnsi="宋体" w:cs="宋体"/>
          <w:kern w:val="0"/>
          <w:szCs w:val="21"/>
        </w:rPr>
        <w:t>承包人必须无条件接受委托人提供的智慧工地监控系统中的考勤硬件（即手机终端），相应费用由监理人承担。</w:t>
      </w:r>
    </w:p>
    <w:p w14:paraId="662CF9FF">
      <w:pPr>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4.2 委托人的违约责任</w:t>
      </w:r>
    </w:p>
    <w:p w14:paraId="64BE9B53">
      <w:pPr>
        <w:spacing w:line="440" w:lineRule="exact"/>
        <w:ind w:firstLine="420" w:firstLineChars="200"/>
        <w:jc w:val="left"/>
        <w:rPr>
          <w:rFonts w:ascii="宋体" w:hAnsi="宋体" w:cs="宋体"/>
          <w:kern w:val="0"/>
          <w:szCs w:val="21"/>
        </w:rPr>
      </w:pPr>
      <w:r>
        <w:rPr>
          <w:rFonts w:hint="eastAsia" w:ascii="宋体" w:hAnsi="宋体" w:cs="宋体"/>
          <w:szCs w:val="21"/>
        </w:rPr>
        <w:t>4.2.3 委托人</w:t>
      </w:r>
      <w:r>
        <w:rPr>
          <w:rFonts w:hint="eastAsia" w:ascii="宋体" w:hAnsi="宋体" w:cs="宋体"/>
          <w:kern w:val="0"/>
          <w:szCs w:val="21"/>
        </w:rPr>
        <w:t>逾期付款利息按下列方法确定：</w:t>
      </w:r>
    </w:p>
    <w:p w14:paraId="37D2D5EB">
      <w:pPr>
        <w:spacing w:line="440" w:lineRule="exact"/>
        <w:ind w:firstLine="420" w:firstLineChars="200"/>
        <w:jc w:val="left"/>
        <w:rPr>
          <w:rFonts w:ascii="宋体" w:hAnsi="宋体" w:cs="宋体"/>
          <w:szCs w:val="21"/>
        </w:rPr>
      </w:pPr>
      <w:r>
        <w:rPr>
          <w:rFonts w:hint="eastAsia" w:ascii="宋体" w:hAnsi="宋体" w:cs="宋体"/>
          <w:szCs w:val="21"/>
        </w:rPr>
        <w:t>逾期付款利息＝当期应付款总额×银行同期贷款利率×拖延支付天数</w:t>
      </w:r>
    </w:p>
    <w:p w14:paraId="27851018">
      <w:pPr>
        <w:keepNext/>
        <w:keepLines/>
        <w:spacing w:line="440" w:lineRule="exact"/>
        <w:ind w:firstLine="480" w:firstLineChars="200"/>
        <w:jc w:val="left"/>
        <w:outlineLvl w:val="2"/>
        <w:rPr>
          <w:rFonts w:ascii="宋体" w:hAnsi="宋体" w:cs="宋体"/>
          <w:bCs/>
          <w:kern w:val="0"/>
          <w:sz w:val="24"/>
          <w:szCs w:val="32"/>
        </w:rPr>
      </w:pPr>
      <w:bookmarkStart w:id="68" w:name="_Toc398107914"/>
      <w:r>
        <w:rPr>
          <w:rFonts w:hint="eastAsia" w:ascii="宋体" w:hAnsi="宋体" w:cs="宋体"/>
          <w:bCs/>
          <w:kern w:val="0"/>
          <w:sz w:val="24"/>
          <w:szCs w:val="32"/>
        </w:rPr>
        <w:t>5. 支付</w:t>
      </w:r>
      <w:bookmarkEnd w:id="68"/>
    </w:p>
    <w:p w14:paraId="5D115F06">
      <w:pPr>
        <w:snapToGrid w:val="0"/>
        <w:spacing w:line="440" w:lineRule="exact"/>
        <w:ind w:firstLine="420" w:firstLineChars="200"/>
        <w:jc w:val="left"/>
        <w:rPr>
          <w:rFonts w:ascii="宋体" w:hAnsi="宋体" w:cs="宋体"/>
          <w:bCs/>
          <w:szCs w:val="21"/>
        </w:rPr>
      </w:pPr>
      <w:r>
        <w:rPr>
          <w:rFonts w:hint="eastAsia" w:ascii="宋体" w:hAnsi="宋体" w:cs="宋体"/>
          <w:szCs w:val="21"/>
        </w:rPr>
        <w:t xml:space="preserve">  5.1 </w:t>
      </w:r>
      <w:r>
        <w:rPr>
          <w:rFonts w:hint="eastAsia" w:ascii="宋体" w:hAnsi="宋体" w:cs="宋体"/>
          <w:bCs/>
          <w:szCs w:val="21"/>
        </w:rPr>
        <w:t>支付货币</w:t>
      </w:r>
    </w:p>
    <w:p w14:paraId="4012D2E8">
      <w:pPr>
        <w:snapToGrid w:val="0"/>
        <w:spacing w:line="440" w:lineRule="exact"/>
        <w:ind w:firstLine="420" w:firstLineChars="200"/>
        <w:jc w:val="left"/>
        <w:rPr>
          <w:rFonts w:ascii="宋体" w:hAnsi="宋体" w:cs="宋体"/>
          <w:szCs w:val="21"/>
        </w:rPr>
      </w:pPr>
      <w:r>
        <w:rPr>
          <w:rFonts w:hint="eastAsia" w:ascii="宋体" w:hAnsi="宋体" w:cs="宋体"/>
          <w:szCs w:val="21"/>
        </w:rPr>
        <w:t>币种为：</w:t>
      </w:r>
      <w:r>
        <w:rPr>
          <w:rFonts w:hint="eastAsia" w:ascii="宋体" w:hAnsi="宋体" w:cs="宋体"/>
          <w:szCs w:val="21"/>
          <w:u w:val="single"/>
        </w:rPr>
        <w:t xml:space="preserve">  人民币 </w:t>
      </w:r>
      <w:r>
        <w:rPr>
          <w:rFonts w:hint="eastAsia" w:ascii="宋体" w:hAnsi="宋体" w:cs="宋体"/>
          <w:szCs w:val="21"/>
        </w:rPr>
        <w:t xml:space="preserve">，比例为：，汇率为：。 </w:t>
      </w:r>
    </w:p>
    <w:p w14:paraId="216042B5">
      <w:pPr>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5.3 支付酬金</w:t>
      </w:r>
    </w:p>
    <w:p w14:paraId="0DA4AE55">
      <w:pPr>
        <w:widowControl/>
        <w:shd w:val="clear" w:color="auto" w:fill="FFFFFF"/>
        <w:snapToGrid w:val="0"/>
        <w:spacing w:line="440" w:lineRule="exact"/>
        <w:ind w:firstLine="420" w:firstLineChars="200"/>
        <w:jc w:val="left"/>
        <w:rPr>
          <w:rFonts w:ascii="仿宋" w:hAnsi="仿宋" w:eastAsia="仿宋" w:cs="宋体"/>
          <w:sz w:val="28"/>
          <w:szCs w:val="28"/>
        </w:rPr>
      </w:pPr>
      <w:r>
        <w:rPr>
          <w:rFonts w:hint="eastAsia" w:ascii="宋体" w:hAnsi="宋体" w:cs="宋体"/>
          <w:kern w:val="0"/>
          <w:szCs w:val="21"/>
        </w:rPr>
        <w:t>正常工作</w:t>
      </w:r>
      <w:r>
        <w:rPr>
          <w:rFonts w:hint="eastAsia" w:ascii="宋体" w:hAnsi="宋体" w:cs="宋体"/>
          <w:szCs w:val="21"/>
        </w:rPr>
        <w:t>酬金的</w:t>
      </w:r>
      <w:r>
        <w:rPr>
          <w:rFonts w:hint="eastAsia" w:ascii="宋体" w:hAnsi="宋体" w:cs="宋体"/>
          <w:kern w:val="0"/>
          <w:szCs w:val="21"/>
        </w:rPr>
        <w:t>支付</w:t>
      </w:r>
      <w:r>
        <w:rPr>
          <w:rFonts w:hint="eastAsia" w:ascii="宋体" w:hAnsi="宋体" w:cs="宋体"/>
          <w:szCs w:val="21"/>
        </w:rPr>
        <w:t>（按各个单项工程分别进行支付）：</w:t>
      </w:r>
    </w:p>
    <w:p w14:paraId="372838B3">
      <w:pPr>
        <w:spacing w:line="440" w:lineRule="exact"/>
        <w:ind w:firstLine="420" w:firstLineChars="200"/>
        <w:jc w:val="left"/>
        <w:rPr>
          <w:rFonts w:ascii="宋体" w:hAnsi="宋体" w:cs="宋体"/>
          <w:szCs w:val="21"/>
        </w:rPr>
      </w:pPr>
      <w:r>
        <w:rPr>
          <w:rFonts w:hint="eastAsia" w:ascii="宋体" w:hAnsi="宋体" w:cs="宋体"/>
          <w:szCs w:val="21"/>
        </w:rPr>
        <w:t>第一次付款：单项工程竣工验收合格后支付合同价的50%。</w:t>
      </w:r>
    </w:p>
    <w:p w14:paraId="000695E6">
      <w:pPr>
        <w:spacing w:line="440" w:lineRule="exact"/>
        <w:ind w:firstLine="420" w:firstLineChars="200"/>
        <w:jc w:val="left"/>
        <w:rPr>
          <w:rFonts w:ascii="宋体" w:hAnsi="宋体" w:cs="宋体"/>
          <w:szCs w:val="21"/>
        </w:rPr>
      </w:pPr>
      <w:r>
        <w:rPr>
          <w:rFonts w:hint="eastAsia" w:ascii="宋体" w:hAnsi="宋体" w:cs="宋体"/>
          <w:szCs w:val="21"/>
        </w:rPr>
        <w:t>第二次付款：单项工程审计后付清。</w:t>
      </w:r>
    </w:p>
    <w:p w14:paraId="753DEDF8">
      <w:pPr>
        <w:spacing w:line="440" w:lineRule="exact"/>
        <w:ind w:firstLine="420" w:firstLineChars="200"/>
        <w:jc w:val="left"/>
        <w:rPr>
          <w:rFonts w:ascii="宋体" w:hAnsi="宋体" w:cs="宋体"/>
          <w:szCs w:val="21"/>
        </w:rPr>
      </w:pPr>
      <w:r>
        <w:rPr>
          <w:rFonts w:hint="eastAsia" w:ascii="宋体" w:hAnsi="宋体" w:cs="宋体"/>
          <w:szCs w:val="21"/>
        </w:rPr>
        <w:t>备注：</w:t>
      </w:r>
    </w:p>
    <w:p w14:paraId="767FC3C1">
      <w:pPr>
        <w:spacing w:line="440" w:lineRule="exact"/>
        <w:ind w:firstLine="420" w:firstLineChars="200"/>
        <w:jc w:val="left"/>
        <w:rPr>
          <w:rFonts w:ascii="宋体" w:hAnsi="宋体" w:cs="宋体"/>
          <w:szCs w:val="21"/>
        </w:rPr>
      </w:pPr>
      <w:r>
        <w:rPr>
          <w:rFonts w:hint="eastAsia" w:ascii="宋体" w:hAnsi="宋体" w:cs="宋体"/>
          <w:szCs w:val="21"/>
        </w:rPr>
        <w:t>（1）上述供电项目监理费可分开支付，所有酬金以人民币形式支付。</w:t>
      </w:r>
    </w:p>
    <w:p w14:paraId="575FF91B">
      <w:pPr>
        <w:spacing w:line="440" w:lineRule="exact"/>
        <w:ind w:firstLine="420" w:firstLineChars="200"/>
        <w:jc w:val="left"/>
        <w:rPr>
          <w:rFonts w:ascii="宋体" w:hAnsi="宋体" w:cs="宋体"/>
          <w:szCs w:val="21"/>
        </w:rPr>
      </w:pPr>
      <w:r>
        <w:rPr>
          <w:rFonts w:hint="eastAsia" w:ascii="宋体" w:hAnsi="宋体" w:cs="宋体"/>
          <w:szCs w:val="21"/>
        </w:rPr>
        <w:t>（2）本项目无论工程施工时间是否延长均不另外计取监理服务费，也不对中标价进行任何调整。</w:t>
      </w:r>
    </w:p>
    <w:p w14:paraId="2FD882E8">
      <w:pPr>
        <w:keepNext/>
        <w:keepLines/>
        <w:spacing w:line="440" w:lineRule="exact"/>
        <w:ind w:firstLine="480" w:firstLineChars="200"/>
        <w:jc w:val="left"/>
        <w:outlineLvl w:val="2"/>
        <w:rPr>
          <w:rFonts w:ascii="宋体" w:hAnsi="宋体" w:cs="宋体"/>
          <w:bCs/>
          <w:kern w:val="0"/>
          <w:sz w:val="24"/>
          <w:szCs w:val="32"/>
        </w:rPr>
      </w:pPr>
      <w:bookmarkStart w:id="69" w:name="_Toc398107915"/>
      <w:r>
        <w:rPr>
          <w:rFonts w:hint="eastAsia" w:ascii="宋体" w:hAnsi="宋体" w:cs="宋体"/>
          <w:bCs/>
          <w:kern w:val="0"/>
          <w:sz w:val="24"/>
          <w:szCs w:val="32"/>
        </w:rPr>
        <w:t>6. 合同生效、变更、暂停、解除与终止</w:t>
      </w:r>
      <w:bookmarkEnd w:id="69"/>
    </w:p>
    <w:p w14:paraId="3BFC824C">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6.1 生效</w:t>
      </w:r>
    </w:p>
    <w:p w14:paraId="3401F2D5">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本合同生效条件：</w:t>
      </w:r>
      <w:r>
        <w:rPr>
          <w:rFonts w:hint="eastAsia" w:ascii="宋体" w:hAnsi="宋体" w:cs="宋体"/>
          <w:szCs w:val="21"/>
          <w:u w:val="single"/>
        </w:rPr>
        <w:t xml:space="preserve">  双方盖章、签字，履约保证金到位后合同生效</w:t>
      </w:r>
      <w:r>
        <w:rPr>
          <w:rFonts w:hint="eastAsia" w:ascii="宋体" w:hAnsi="宋体" w:cs="宋体"/>
          <w:szCs w:val="21"/>
        </w:rPr>
        <w:t>。</w:t>
      </w:r>
    </w:p>
    <w:p w14:paraId="78B06930">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6.2 变更</w:t>
      </w:r>
    </w:p>
    <w:p w14:paraId="62C8E522">
      <w:pPr>
        <w:adjustRightInd w:val="0"/>
        <w:snapToGrid w:val="0"/>
        <w:spacing w:line="440" w:lineRule="exact"/>
        <w:ind w:firstLine="420" w:firstLineChars="200"/>
        <w:jc w:val="left"/>
        <w:rPr>
          <w:rFonts w:ascii="宋体" w:hAnsi="宋体" w:cs="宋体"/>
          <w:kern w:val="0"/>
          <w:szCs w:val="21"/>
          <w:u w:val="single"/>
        </w:rPr>
      </w:pPr>
      <w:r>
        <w:rPr>
          <w:rFonts w:hint="eastAsia" w:ascii="宋体" w:hAnsi="宋体" w:cs="宋体"/>
          <w:szCs w:val="21"/>
        </w:rPr>
        <w:t>6.2.2 除不可抗力外， 因非监理人原因导致本合同期限延长时，附加工作酬金按下列方法确定：</w:t>
      </w:r>
      <w:r>
        <w:rPr>
          <w:rFonts w:hint="eastAsia" w:ascii="宋体" w:hAnsi="宋体" w:cs="宋体"/>
          <w:kern w:val="0"/>
          <w:szCs w:val="21"/>
          <w:u w:val="single"/>
        </w:rPr>
        <w:t>无论何种情况，包括施工、监理期延长，均不另行计取监理费用。</w:t>
      </w:r>
    </w:p>
    <w:p w14:paraId="228FD18A">
      <w:pPr>
        <w:snapToGrid w:val="0"/>
        <w:spacing w:line="440" w:lineRule="exact"/>
        <w:ind w:firstLine="420" w:firstLineChars="200"/>
        <w:jc w:val="left"/>
        <w:rPr>
          <w:rFonts w:ascii="宋体" w:hAnsi="宋体" w:cs="宋体"/>
          <w:szCs w:val="21"/>
        </w:rPr>
      </w:pPr>
      <w:r>
        <w:rPr>
          <w:rFonts w:hint="eastAsia" w:ascii="宋体" w:hAnsi="宋体" w:cs="宋体"/>
          <w:szCs w:val="21"/>
        </w:rPr>
        <w:t>6.2.3附加工作酬金按下列方法确定：</w:t>
      </w:r>
      <w:r>
        <w:rPr>
          <w:rFonts w:hint="eastAsia" w:ascii="宋体" w:hAnsi="宋体" w:cs="宋体"/>
          <w:sz w:val="24"/>
          <w:u w:val="single"/>
        </w:rPr>
        <w:t xml:space="preserve">/ </w:t>
      </w:r>
    </w:p>
    <w:p w14:paraId="3A770714">
      <w:pPr>
        <w:adjustRightInd w:val="0"/>
        <w:snapToGrid w:val="0"/>
        <w:spacing w:line="440" w:lineRule="exact"/>
        <w:ind w:firstLine="420" w:firstLineChars="200"/>
        <w:rPr>
          <w:rFonts w:ascii="宋体" w:hAnsi="宋体" w:cs="宋体"/>
          <w:szCs w:val="21"/>
        </w:rPr>
      </w:pPr>
      <w:r>
        <w:rPr>
          <w:rFonts w:hint="eastAsia" w:ascii="宋体" w:hAnsi="宋体" w:cs="宋体"/>
          <w:szCs w:val="21"/>
        </w:rPr>
        <w:t>6.2.5 正常工作酬金增加额按下列方法确定：</w:t>
      </w:r>
      <w:r>
        <w:rPr>
          <w:rFonts w:hint="eastAsia" w:ascii="宋体" w:hAnsi="宋体" w:cs="宋体"/>
          <w:szCs w:val="21"/>
          <w:u w:val="single"/>
        </w:rPr>
        <w:t xml:space="preserve">/ </w:t>
      </w:r>
      <w:r>
        <w:rPr>
          <w:rFonts w:hint="eastAsia" w:ascii="宋体" w:hAnsi="宋体" w:cs="宋体"/>
          <w:szCs w:val="21"/>
        </w:rPr>
        <w:t>。</w:t>
      </w:r>
    </w:p>
    <w:p w14:paraId="4264754A">
      <w:pPr>
        <w:keepNext/>
        <w:keepLines/>
        <w:spacing w:line="440" w:lineRule="exact"/>
        <w:ind w:firstLine="480" w:firstLineChars="200"/>
        <w:jc w:val="left"/>
        <w:outlineLvl w:val="2"/>
        <w:rPr>
          <w:rFonts w:ascii="宋体" w:hAnsi="宋体" w:cs="宋体"/>
          <w:bCs/>
          <w:kern w:val="0"/>
          <w:sz w:val="24"/>
          <w:szCs w:val="32"/>
        </w:rPr>
      </w:pPr>
      <w:bookmarkStart w:id="70" w:name="_Toc398107916"/>
      <w:r>
        <w:rPr>
          <w:rFonts w:hint="eastAsia" w:ascii="宋体" w:hAnsi="宋体" w:cs="宋体"/>
          <w:bCs/>
          <w:kern w:val="0"/>
          <w:sz w:val="24"/>
          <w:szCs w:val="32"/>
        </w:rPr>
        <w:t>7. 争议解决</w:t>
      </w:r>
      <w:bookmarkEnd w:id="70"/>
    </w:p>
    <w:p w14:paraId="216B70BE">
      <w:pPr>
        <w:snapToGrid w:val="0"/>
        <w:spacing w:line="440" w:lineRule="exact"/>
        <w:ind w:firstLine="420" w:firstLineChars="200"/>
        <w:jc w:val="left"/>
        <w:rPr>
          <w:rFonts w:ascii="宋体" w:hAnsi="宋体" w:cs="宋体"/>
          <w:szCs w:val="21"/>
        </w:rPr>
      </w:pPr>
      <w:r>
        <w:rPr>
          <w:rFonts w:hint="eastAsia" w:ascii="宋体" w:hAnsi="宋体" w:cs="宋体"/>
          <w:szCs w:val="21"/>
        </w:rPr>
        <w:t xml:space="preserve">7.2 </w:t>
      </w:r>
      <w:r>
        <w:rPr>
          <w:rFonts w:hint="eastAsia" w:ascii="宋体" w:hAnsi="宋体" w:cs="宋体"/>
          <w:bCs/>
          <w:szCs w:val="21"/>
        </w:rPr>
        <w:t>调解</w:t>
      </w:r>
    </w:p>
    <w:p w14:paraId="7DDFD61D">
      <w:pPr>
        <w:snapToGrid w:val="0"/>
        <w:spacing w:line="440" w:lineRule="exact"/>
        <w:ind w:firstLine="420" w:firstLineChars="200"/>
        <w:jc w:val="left"/>
        <w:rPr>
          <w:rFonts w:ascii="宋体" w:hAnsi="宋体" w:cs="宋体"/>
          <w:szCs w:val="21"/>
        </w:rPr>
      </w:pPr>
      <w:r>
        <w:rPr>
          <w:rFonts w:hint="eastAsia" w:ascii="宋体" w:hAnsi="宋体" w:cs="宋体"/>
          <w:szCs w:val="21"/>
        </w:rPr>
        <w:t>本合同争议进行调解时，可提交</w:t>
      </w:r>
      <w:r>
        <w:rPr>
          <w:rFonts w:hint="eastAsia" w:ascii="宋体" w:hAnsi="宋体" w:cs="宋体"/>
          <w:sz w:val="24"/>
          <w:u w:val="single"/>
        </w:rPr>
        <w:t>/</w:t>
      </w:r>
      <w:r>
        <w:rPr>
          <w:rFonts w:hint="eastAsia" w:ascii="宋体" w:hAnsi="宋体" w:cs="宋体"/>
          <w:szCs w:val="21"/>
        </w:rPr>
        <w:t>进行调解。</w:t>
      </w:r>
    </w:p>
    <w:p w14:paraId="0E407103">
      <w:pPr>
        <w:snapToGrid w:val="0"/>
        <w:spacing w:line="440" w:lineRule="exact"/>
        <w:ind w:firstLine="420" w:firstLineChars="200"/>
        <w:jc w:val="left"/>
        <w:rPr>
          <w:rFonts w:ascii="宋体" w:hAnsi="宋体" w:cs="宋体"/>
          <w:szCs w:val="21"/>
        </w:rPr>
      </w:pPr>
      <w:r>
        <w:rPr>
          <w:rFonts w:hint="eastAsia" w:ascii="宋体" w:hAnsi="宋体" w:cs="宋体"/>
          <w:szCs w:val="21"/>
        </w:rPr>
        <w:t xml:space="preserve">7.3 </w:t>
      </w:r>
      <w:r>
        <w:rPr>
          <w:rFonts w:hint="eastAsia" w:ascii="宋体" w:hAnsi="宋体" w:cs="宋体"/>
          <w:bCs/>
          <w:szCs w:val="21"/>
        </w:rPr>
        <w:t>仲裁或诉讼</w:t>
      </w:r>
    </w:p>
    <w:p w14:paraId="7BEF5E8F">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合同争议的最终解决方式为下列第</w:t>
      </w:r>
      <w:r>
        <w:rPr>
          <w:rFonts w:hint="eastAsia" w:ascii="宋体" w:hAnsi="宋体" w:cs="宋体"/>
          <w:szCs w:val="21"/>
          <w:u w:val="single"/>
        </w:rPr>
        <w:t xml:space="preserve">  2  </w:t>
      </w:r>
      <w:r>
        <w:rPr>
          <w:rFonts w:hint="eastAsia" w:ascii="宋体" w:hAnsi="宋体" w:cs="宋体"/>
          <w:szCs w:val="21"/>
        </w:rPr>
        <w:t>种方式：</w:t>
      </w:r>
    </w:p>
    <w:p w14:paraId="603E55B7">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（1）提请</w:t>
      </w:r>
      <w:r>
        <w:rPr>
          <w:rFonts w:hint="eastAsia" w:ascii="宋体" w:hAnsi="宋体" w:cs="宋体"/>
          <w:sz w:val="24"/>
          <w:u w:val="single"/>
        </w:rPr>
        <w:t>/</w:t>
      </w:r>
      <w:r>
        <w:rPr>
          <w:rFonts w:hint="eastAsia" w:ascii="宋体" w:hAnsi="宋体" w:cs="宋体"/>
          <w:szCs w:val="21"/>
        </w:rPr>
        <w:t>仲裁委员会进行仲裁。</w:t>
      </w:r>
    </w:p>
    <w:p w14:paraId="0A8AEB49">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（2）向</w:t>
      </w:r>
      <w:r>
        <w:rPr>
          <w:rFonts w:hint="eastAsia" w:ascii="宋体" w:hAnsi="宋体" w:cs="宋体"/>
          <w:szCs w:val="21"/>
          <w:u w:val="single"/>
        </w:rPr>
        <w:t xml:space="preserve">  工程所在地有管辖权的  </w:t>
      </w:r>
      <w:r>
        <w:rPr>
          <w:rFonts w:hint="eastAsia" w:ascii="宋体" w:hAnsi="宋体" w:cs="宋体"/>
          <w:szCs w:val="21"/>
        </w:rPr>
        <w:t>人民法院提起诉讼。</w:t>
      </w:r>
    </w:p>
    <w:p w14:paraId="2F5767EC">
      <w:pPr>
        <w:keepNext/>
        <w:keepLines/>
        <w:spacing w:line="440" w:lineRule="exact"/>
        <w:ind w:firstLine="480" w:firstLineChars="200"/>
        <w:jc w:val="left"/>
        <w:outlineLvl w:val="2"/>
        <w:rPr>
          <w:rFonts w:ascii="宋体" w:hAnsi="宋体" w:cs="宋体"/>
          <w:bCs/>
          <w:kern w:val="0"/>
          <w:sz w:val="24"/>
          <w:szCs w:val="32"/>
        </w:rPr>
      </w:pPr>
      <w:bookmarkStart w:id="71" w:name="_Toc398107917"/>
      <w:r>
        <w:rPr>
          <w:rFonts w:hint="eastAsia" w:ascii="宋体" w:hAnsi="宋体" w:cs="宋体"/>
          <w:bCs/>
          <w:kern w:val="0"/>
          <w:sz w:val="24"/>
          <w:szCs w:val="32"/>
        </w:rPr>
        <w:t>8. 其他</w:t>
      </w:r>
      <w:bookmarkEnd w:id="71"/>
    </w:p>
    <w:p w14:paraId="4C70B1D1">
      <w:pPr>
        <w:snapToGrid w:val="0"/>
        <w:spacing w:line="440" w:lineRule="exact"/>
        <w:ind w:firstLine="420" w:firstLineChars="200"/>
        <w:jc w:val="left"/>
        <w:rPr>
          <w:rFonts w:ascii="宋体" w:hAnsi="宋体" w:cs="宋体"/>
          <w:szCs w:val="21"/>
        </w:rPr>
      </w:pPr>
      <w:r>
        <w:rPr>
          <w:rFonts w:hint="eastAsia" w:ascii="宋体" w:hAnsi="宋体" w:cs="宋体"/>
          <w:szCs w:val="21"/>
        </w:rPr>
        <w:t>合理化建议的奖励金额按下列方法确定为：</w:t>
      </w:r>
    </w:p>
    <w:p w14:paraId="43A45A51">
      <w:pPr>
        <w:snapToGrid w:val="0"/>
        <w:spacing w:line="400" w:lineRule="exact"/>
        <w:ind w:firstLine="371" w:firstLineChars="177"/>
        <w:rPr>
          <w:rFonts w:ascii="宋体" w:hAnsi="宋体" w:cs="宋体"/>
          <w:szCs w:val="21"/>
          <w:u w:val="single"/>
        </w:rPr>
      </w:pPr>
      <w:r>
        <w:rPr>
          <w:rFonts w:hint="eastAsia" w:ascii="宋体" w:hAnsi="宋体" w:cs="宋体"/>
          <w:kern w:val="0"/>
          <w:szCs w:val="21"/>
          <w:u w:val="single"/>
        </w:rPr>
        <w:t>在工程实施过程中，如果监理能够对该工程提出合理化建议且被设计单位及发包人采纳，业主将对监理项目部给予一定的奖励，具体奖励办法如下：根据现场实际条件对工程图纸中出现的明显缺陷（使用功能，结构形式、软基处理办法等）提出合理化建议被采纳并取得明显社会效益但不增加工程造价的，一次性给予1000元奖励；如合理化建议被采纳，且取得明显社会及经济效益，节省造价10万元以内，一次性给予3000元奖励；如合理化建议被采纳，且取得明显社会及经济效益节省造价10万元以上，一次性给予节省造价的1％作为奖励。以上奖励只就高标准享受一项。</w:t>
      </w:r>
    </w:p>
    <w:p w14:paraId="3A1324F5">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8.6 保密</w:t>
      </w:r>
    </w:p>
    <w:p w14:paraId="7135D896">
      <w:pPr>
        <w:adjustRightInd w:val="0"/>
        <w:snapToGrid w:val="0"/>
        <w:spacing w:line="440" w:lineRule="exact"/>
        <w:ind w:firstLine="420" w:firstLineChars="200"/>
        <w:rPr>
          <w:rFonts w:ascii="宋体" w:hAnsi="宋体" w:cs="宋体"/>
          <w:sz w:val="24"/>
          <w:u w:val="single"/>
        </w:rPr>
      </w:pPr>
      <w:r>
        <w:rPr>
          <w:rFonts w:hint="eastAsia" w:ascii="宋体" w:hAnsi="宋体" w:cs="宋体"/>
          <w:szCs w:val="21"/>
        </w:rPr>
        <w:t>委托人申明的保密事项和期限：</w:t>
      </w:r>
      <w:r>
        <w:rPr>
          <w:rFonts w:hint="eastAsia" w:ascii="宋体" w:hAnsi="宋体" w:cs="宋体"/>
          <w:szCs w:val="21"/>
          <w:u w:val="single"/>
        </w:rPr>
        <w:t xml:space="preserve">  监理人在监理工作中知晓的委托人的商业秘密</w:t>
      </w:r>
      <w:r>
        <w:rPr>
          <w:rFonts w:hint="eastAsia" w:ascii="宋体" w:hAnsi="宋体" w:cs="宋体"/>
          <w:sz w:val="24"/>
        </w:rPr>
        <w:t>。</w:t>
      </w:r>
    </w:p>
    <w:p w14:paraId="17EF5F33">
      <w:pPr>
        <w:adjustRightInd w:val="0"/>
        <w:snapToGrid w:val="0"/>
        <w:spacing w:line="440" w:lineRule="exact"/>
        <w:ind w:firstLine="420" w:firstLineChars="200"/>
        <w:jc w:val="left"/>
        <w:rPr>
          <w:rFonts w:ascii="宋体" w:hAnsi="宋体" w:cs="宋体"/>
          <w:szCs w:val="21"/>
          <w:u w:val="single"/>
        </w:rPr>
      </w:pPr>
      <w:r>
        <w:rPr>
          <w:rFonts w:hint="eastAsia" w:ascii="宋体" w:hAnsi="宋体" w:cs="宋体"/>
          <w:szCs w:val="21"/>
        </w:rPr>
        <w:t>监理人申明的保密事项和期限：</w:t>
      </w:r>
      <w:r>
        <w:rPr>
          <w:rFonts w:hint="eastAsia" w:ascii="宋体" w:hAnsi="宋体" w:cs="宋体"/>
          <w:sz w:val="24"/>
          <w:u w:val="single"/>
        </w:rPr>
        <w:t>/</w:t>
      </w:r>
      <w:r>
        <w:rPr>
          <w:rFonts w:hint="eastAsia" w:ascii="宋体" w:hAnsi="宋体" w:cs="宋体"/>
          <w:szCs w:val="21"/>
        </w:rPr>
        <w:t>。</w:t>
      </w:r>
    </w:p>
    <w:p w14:paraId="3176145A">
      <w:pPr>
        <w:adjustRightInd w:val="0"/>
        <w:snapToGrid w:val="0"/>
        <w:spacing w:line="440" w:lineRule="exact"/>
        <w:ind w:firstLine="420" w:firstLineChars="200"/>
        <w:jc w:val="left"/>
        <w:rPr>
          <w:rFonts w:ascii="宋体" w:hAnsi="宋体" w:cs="宋体"/>
          <w:szCs w:val="21"/>
          <w:u w:val="single"/>
        </w:rPr>
      </w:pPr>
      <w:r>
        <w:rPr>
          <w:rFonts w:hint="eastAsia" w:ascii="宋体" w:hAnsi="宋体" w:cs="宋体"/>
          <w:szCs w:val="21"/>
        </w:rPr>
        <w:t>第三方申明的保密事项和期限：</w:t>
      </w:r>
      <w:r>
        <w:rPr>
          <w:rFonts w:hint="eastAsia" w:ascii="宋体" w:hAnsi="宋体" w:cs="宋体"/>
          <w:sz w:val="24"/>
          <w:u w:val="single"/>
        </w:rPr>
        <w:t>/</w:t>
      </w:r>
      <w:r>
        <w:rPr>
          <w:rFonts w:hint="eastAsia" w:ascii="宋体" w:hAnsi="宋体" w:cs="宋体"/>
          <w:szCs w:val="21"/>
        </w:rPr>
        <w:t>。</w:t>
      </w:r>
    </w:p>
    <w:p w14:paraId="3CF7C45A">
      <w:pPr>
        <w:snapToGrid w:val="0"/>
        <w:spacing w:line="440" w:lineRule="exact"/>
        <w:ind w:firstLine="420" w:firstLineChars="200"/>
        <w:jc w:val="left"/>
        <w:rPr>
          <w:rFonts w:ascii="宋体" w:hAnsi="宋体" w:cs="宋体"/>
          <w:bCs/>
          <w:szCs w:val="21"/>
        </w:rPr>
      </w:pPr>
      <w:r>
        <w:rPr>
          <w:rFonts w:hint="eastAsia" w:ascii="宋体" w:hAnsi="宋体" w:cs="宋体"/>
          <w:szCs w:val="21"/>
        </w:rPr>
        <w:t>8.8</w:t>
      </w:r>
      <w:r>
        <w:rPr>
          <w:rFonts w:hint="eastAsia" w:ascii="宋体" w:hAnsi="宋体" w:cs="宋体"/>
          <w:bCs/>
          <w:szCs w:val="21"/>
        </w:rPr>
        <w:t>著作权</w:t>
      </w:r>
    </w:p>
    <w:p w14:paraId="116E548C">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监理人在本合同履行期间及本合同终止后两年内出版涉及本工程的有关监理与相关服务的资料的限制条件：</w:t>
      </w:r>
      <w:r>
        <w:rPr>
          <w:rFonts w:hint="eastAsia" w:ascii="宋体" w:hAnsi="宋体" w:cs="宋体"/>
          <w:sz w:val="24"/>
          <w:u w:val="single"/>
        </w:rPr>
        <w:t>/</w:t>
      </w:r>
      <w:r>
        <w:rPr>
          <w:rFonts w:hint="eastAsia" w:ascii="宋体" w:hAnsi="宋体" w:cs="宋体"/>
          <w:szCs w:val="21"/>
        </w:rPr>
        <w:t>。</w:t>
      </w:r>
    </w:p>
    <w:p w14:paraId="4937B5C6">
      <w:pPr>
        <w:adjustRightInd w:val="0"/>
        <w:snapToGrid w:val="0"/>
        <w:spacing w:line="440" w:lineRule="exact"/>
        <w:ind w:firstLine="480" w:firstLineChars="200"/>
        <w:jc w:val="left"/>
        <w:rPr>
          <w:rFonts w:ascii="宋体" w:hAnsi="宋体" w:cs="宋体"/>
          <w:szCs w:val="21"/>
        </w:rPr>
      </w:pPr>
      <w:bookmarkStart w:id="72" w:name="_Toc398107918"/>
      <w:r>
        <w:rPr>
          <w:rFonts w:hint="eastAsia" w:ascii="宋体" w:hAnsi="宋体" w:cs="宋体"/>
          <w:bCs/>
          <w:sz w:val="24"/>
          <w:szCs w:val="32"/>
        </w:rPr>
        <w:t>9. 补充条款</w:t>
      </w:r>
      <w:bookmarkEnd w:id="72"/>
      <w:r>
        <w:rPr>
          <w:rFonts w:hint="eastAsia" w:ascii="宋体" w:hAnsi="宋体" w:cs="宋体"/>
          <w:szCs w:val="21"/>
        </w:rPr>
        <w:t>：</w:t>
      </w:r>
    </w:p>
    <w:p w14:paraId="1B8F07E1">
      <w:pPr>
        <w:numPr>
          <w:ilvl w:val="0"/>
          <w:numId w:val="14"/>
        </w:numPr>
        <w:adjustRightInd w:val="0"/>
        <w:snapToGrid w:val="0"/>
        <w:spacing w:line="440" w:lineRule="exact"/>
        <w:jc w:val="left"/>
        <w:rPr>
          <w:rFonts w:ascii="宋体" w:hAnsi="宋体" w:cs="宋体"/>
          <w:szCs w:val="21"/>
          <w:u w:val="single"/>
        </w:rPr>
      </w:pPr>
      <w:r>
        <w:rPr>
          <w:rFonts w:hint="eastAsia" w:ascii="宋体" w:hAnsi="宋体" w:cs="宋体"/>
          <w:bCs/>
          <w:szCs w:val="21"/>
          <w:u w:val="single"/>
        </w:rPr>
        <w:t>本工程质量标准为符合《工程施工质量验收规范》，确保工程竣工验收合格，为此提供服务所发生的费用均在报价综合考虑。</w:t>
      </w:r>
    </w:p>
    <w:p w14:paraId="1F94CF43">
      <w:pPr>
        <w:numPr>
          <w:ilvl w:val="0"/>
          <w:numId w:val="14"/>
        </w:numPr>
        <w:adjustRightInd w:val="0"/>
        <w:snapToGrid w:val="0"/>
        <w:spacing w:line="440" w:lineRule="exact"/>
        <w:jc w:val="left"/>
        <w:rPr>
          <w:rFonts w:ascii="宋体" w:hAnsi="宋体" w:cs="宋体"/>
          <w:szCs w:val="21"/>
          <w:u w:val="single"/>
        </w:rPr>
      </w:pPr>
      <w:r>
        <w:rPr>
          <w:rFonts w:hint="eastAsia" w:ascii="宋体" w:hAnsi="宋体" w:cs="宋体"/>
          <w:szCs w:val="21"/>
          <w:u w:val="single"/>
        </w:rPr>
        <w:t>在履行合同义务期间，监理人应当每周五前、每月25日前向委托人书面报告一次监理工作情况，并根据委托人的要求提供监理业务范围内的专项报告，及时召开工地例会及安全例会，布置各项工作。</w:t>
      </w:r>
    </w:p>
    <w:p w14:paraId="632DBD77">
      <w:pPr>
        <w:numPr>
          <w:ilvl w:val="0"/>
          <w:numId w:val="14"/>
        </w:numPr>
        <w:spacing w:line="440" w:lineRule="exact"/>
        <w:jc w:val="left"/>
        <w:rPr>
          <w:rFonts w:ascii="宋体" w:hAnsi="宋体" w:cs="宋体"/>
          <w:szCs w:val="21"/>
          <w:u w:val="single"/>
        </w:rPr>
      </w:pPr>
      <w:r>
        <w:rPr>
          <w:rFonts w:hint="eastAsia" w:ascii="宋体" w:hAnsi="宋体" w:cs="宋体"/>
          <w:szCs w:val="21"/>
          <w:u w:val="single"/>
        </w:rPr>
        <w:t>总监原则上必须常驻现场，如有特殊情况离场必须向委托方请假，半天内向委托方现场代表书面请假，1天以内需向委托方现场代表、工程部书面请假，手续报委托方标后办备案，一天以上需向委托方现场代表、工程部、标后办、公司负责人书面请假，手续报备后，原则上每月不得超过三天；</w:t>
      </w:r>
    </w:p>
    <w:p w14:paraId="7C34D466">
      <w:pPr>
        <w:numPr>
          <w:ilvl w:val="0"/>
          <w:numId w:val="14"/>
        </w:numPr>
        <w:spacing w:line="440" w:lineRule="exact"/>
        <w:jc w:val="left"/>
        <w:rPr>
          <w:rFonts w:ascii="宋体" w:hAnsi="宋体" w:cs="宋体"/>
          <w:szCs w:val="21"/>
          <w:u w:val="single"/>
        </w:rPr>
      </w:pPr>
      <w:r>
        <w:rPr>
          <w:rFonts w:hint="eastAsia" w:ascii="宋体" w:hAnsi="宋体" w:cs="宋体"/>
          <w:szCs w:val="21"/>
          <w:u w:val="single"/>
        </w:rPr>
        <w:t>总监、专监和现场监理人员原则上在施工期间必须每天在现场。委托人标后办将不定期进行抽查，若发现总监、专监和现场监理人员未经批准擅自离开施工现场的，总监罚款2000/次，专监和现场监理人员罚款1000元/每人次，情况严重的，委托方有权中止合同。</w:t>
      </w:r>
    </w:p>
    <w:p w14:paraId="7A87F699">
      <w:pPr>
        <w:numPr>
          <w:ilvl w:val="0"/>
          <w:numId w:val="14"/>
        </w:numPr>
        <w:spacing w:line="440" w:lineRule="exact"/>
        <w:jc w:val="left"/>
        <w:rPr>
          <w:rFonts w:ascii="宋体" w:hAnsi="宋体" w:cs="宋体"/>
          <w:szCs w:val="21"/>
          <w:u w:val="single"/>
        </w:rPr>
      </w:pPr>
      <w:r>
        <w:rPr>
          <w:rFonts w:hint="eastAsia" w:ascii="宋体" w:hAnsi="宋体" w:cs="宋体"/>
          <w:szCs w:val="21"/>
          <w:u w:val="single"/>
        </w:rPr>
        <w:t>监理人及其派出的监理机构、监理人员的任何违法行为所产生的责任，及其在工程监理期间的人身安全均由监理人自负。由于监理人、监理机构、监理人员的违法行为导致本合同不能履行或不能全面履行时，监理人应赔偿招标人的直接损失，造成安全责任事故由监理人负责处理并承担相应费用。</w:t>
      </w:r>
    </w:p>
    <w:p w14:paraId="2D2E9164">
      <w:pPr>
        <w:numPr>
          <w:ilvl w:val="0"/>
          <w:numId w:val="14"/>
        </w:numPr>
        <w:spacing w:line="440" w:lineRule="exact"/>
        <w:jc w:val="left"/>
        <w:rPr>
          <w:rFonts w:ascii="宋体" w:hAnsi="宋体" w:cs="宋体"/>
          <w:sz w:val="24"/>
          <w:u w:val="single"/>
        </w:rPr>
      </w:pPr>
      <w:r>
        <w:rPr>
          <w:rFonts w:hint="eastAsia" w:ascii="宋体" w:hAnsi="宋体" w:cs="宋体"/>
          <w:b/>
          <w:szCs w:val="21"/>
          <w:highlight w:val="yellow"/>
          <w:u w:val="single"/>
        </w:rPr>
        <w:t>本工程的履约保证金为1万元</w:t>
      </w:r>
      <w:r>
        <w:rPr>
          <w:rFonts w:hint="eastAsia" w:ascii="宋体" w:hAnsi="宋体" w:cs="宋体"/>
          <w:szCs w:val="21"/>
          <w:u w:val="single"/>
        </w:rPr>
        <w:t>，由监理人在签订本合同时交给委托人，工程全部竣工验收合格并办理相关手续后无息退还。监理人有违反合同约定情形的，委托人有权直接在履约保证金中扣除相应的罚款或赔偿款。</w:t>
      </w:r>
    </w:p>
    <w:p w14:paraId="420B2960">
      <w:pPr>
        <w:numPr>
          <w:ilvl w:val="0"/>
          <w:numId w:val="14"/>
        </w:numPr>
        <w:spacing w:line="440" w:lineRule="exact"/>
        <w:jc w:val="left"/>
        <w:rPr>
          <w:rFonts w:ascii="宋体" w:hAnsi="宋体" w:cs="宋体"/>
          <w:b/>
          <w:bCs/>
          <w:szCs w:val="21"/>
          <w:u w:val="single"/>
        </w:rPr>
      </w:pPr>
      <w:r>
        <w:rPr>
          <w:rFonts w:hint="eastAsia" w:ascii="宋体" w:hAnsi="宋体" w:cs="宋体"/>
          <w:szCs w:val="21"/>
          <w:u w:val="single"/>
        </w:rPr>
        <w:t>监理人员应无条件配合完成发包人委派的其他任务；</w:t>
      </w:r>
    </w:p>
    <w:p w14:paraId="6DE9AB0A">
      <w:pPr>
        <w:numPr>
          <w:ilvl w:val="0"/>
          <w:numId w:val="14"/>
        </w:numPr>
        <w:spacing w:line="440" w:lineRule="exact"/>
        <w:jc w:val="left"/>
        <w:rPr>
          <w:rFonts w:ascii="宋体" w:hAnsi="宋体" w:cs="宋体"/>
          <w:szCs w:val="21"/>
          <w:u w:val="single"/>
        </w:rPr>
      </w:pPr>
      <w:r>
        <w:rPr>
          <w:rFonts w:hint="eastAsia" w:ascii="宋体" w:hAnsi="宋体" w:cs="宋体"/>
          <w:b/>
          <w:u w:val="single"/>
        </w:rPr>
        <w:t>监理人委派至本工程的所有监理人员，包括但不限于总监、专监等均应接受招标单位的考勤，相应的考勤记录将作为监理人支付监理费用必不可少的附件之一。</w:t>
      </w:r>
      <w:r>
        <w:rPr>
          <w:rFonts w:hint="eastAsia" w:ascii="宋体" w:hAnsi="宋体" w:cs="宋体"/>
          <w:b/>
          <w:bCs/>
          <w:szCs w:val="21"/>
          <w:u w:val="single"/>
        </w:rPr>
        <w:t>否则发包人有权扣除相应监理费用；</w:t>
      </w:r>
    </w:p>
    <w:p w14:paraId="5A8EFD9B">
      <w:pPr>
        <w:numPr>
          <w:ilvl w:val="0"/>
          <w:numId w:val="14"/>
        </w:numPr>
        <w:spacing w:line="440" w:lineRule="exact"/>
        <w:jc w:val="left"/>
        <w:rPr>
          <w:rFonts w:ascii="宋体" w:hAnsi="宋体" w:cs="宋体"/>
          <w:szCs w:val="21"/>
          <w:u w:val="single"/>
        </w:rPr>
      </w:pPr>
      <w:r>
        <w:rPr>
          <w:rFonts w:hint="eastAsia" w:ascii="宋体" w:hAnsi="宋体" w:cs="宋体"/>
          <w:szCs w:val="21"/>
        </w:rPr>
        <w:t>监理人应接受委托人制定并发布的关于项目现场管理的相关规定的约定。</w:t>
      </w:r>
    </w:p>
    <w:p w14:paraId="660298B2">
      <w:pPr>
        <w:numPr>
          <w:ilvl w:val="0"/>
          <w:numId w:val="14"/>
        </w:numPr>
        <w:spacing w:line="440" w:lineRule="exact"/>
        <w:jc w:val="left"/>
        <w:rPr>
          <w:rFonts w:ascii="宋体" w:hAnsi="宋体" w:cs="宋体"/>
          <w:szCs w:val="21"/>
          <w:u w:val="single"/>
        </w:rPr>
      </w:pPr>
      <w:r>
        <w:rPr>
          <w:rFonts w:hint="eastAsia" w:ascii="宋体" w:hAnsi="宋体" w:cs="宋体"/>
          <w:szCs w:val="21"/>
        </w:rPr>
        <w:t>对上述合同文本，招标单位保留根据工程需要对合同文本进行进一步修改完善的权利，投标人必须对招标单位合同文本的修改完善认可。</w:t>
      </w:r>
    </w:p>
    <w:p w14:paraId="4E62F8E0">
      <w:pPr>
        <w:spacing w:line="440" w:lineRule="exact"/>
        <w:jc w:val="left"/>
        <w:rPr>
          <w:rFonts w:ascii="宋体" w:hAnsi="宋体" w:cs="宋体"/>
          <w:szCs w:val="21"/>
        </w:rPr>
      </w:pPr>
    </w:p>
    <w:p w14:paraId="05BBC4C2">
      <w:pPr>
        <w:pStyle w:val="30"/>
      </w:pPr>
    </w:p>
    <w:p w14:paraId="4976E6C9">
      <w:pPr>
        <w:keepNext/>
        <w:keepLines/>
        <w:spacing w:before="120" w:after="120" w:line="360" w:lineRule="auto"/>
        <w:outlineLvl w:val="1"/>
        <w:rPr>
          <w:rFonts w:ascii="宋体" w:hAnsi="宋体" w:cs="宋体"/>
          <w:sz w:val="32"/>
          <w:szCs w:val="32"/>
        </w:rPr>
      </w:pPr>
      <w:bookmarkStart w:id="73" w:name="_Toc398107919"/>
    </w:p>
    <w:p w14:paraId="66783E20">
      <w:pPr>
        <w:keepNext/>
        <w:keepLines/>
        <w:spacing w:before="120" w:after="120" w:line="360" w:lineRule="auto"/>
        <w:outlineLvl w:val="1"/>
        <w:rPr>
          <w:rFonts w:ascii="宋体" w:hAnsi="宋体" w:cs="宋体"/>
          <w:sz w:val="32"/>
          <w:szCs w:val="32"/>
        </w:rPr>
      </w:pPr>
      <w:r>
        <w:rPr>
          <w:rFonts w:hint="eastAsia" w:ascii="宋体" w:hAnsi="宋体" w:cs="宋体"/>
          <w:sz w:val="32"/>
          <w:szCs w:val="32"/>
        </w:rPr>
        <w:t>附录A  相关服务的范围和内容</w:t>
      </w:r>
      <w:bookmarkEnd w:id="73"/>
    </w:p>
    <w:p w14:paraId="571A9387">
      <w:pPr>
        <w:snapToGrid w:val="0"/>
        <w:spacing w:beforeLines="50" w:afterLines="50"/>
        <w:ind w:firstLine="840" w:firstLineChars="400"/>
        <w:rPr>
          <w:rFonts w:ascii="宋体" w:hAnsi="宋体" w:cs="宋体"/>
          <w:kern w:val="0"/>
          <w:szCs w:val="21"/>
        </w:rPr>
      </w:pPr>
      <w:r>
        <w:rPr>
          <w:rFonts w:hint="eastAsia" w:ascii="宋体" w:hAnsi="宋体" w:cs="宋体"/>
          <w:kern w:val="0"/>
          <w:szCs w:val="21"/>
        </w:rPr>
        <w:t>A-1 勘察阶段：</w:t>
      </w:r>
    </w:p>
    <w:p w14:paraId="342B12AE">
      <w:pPr>
        <w:snapToGrid w:val="0"/>
        <w:spacing w:beforeLines="50" w:afterLines="50"/>
        <w:ind w:firstLine="840" w:firstLineChars="400"/>
        <w:rPr>
          <w:rFonts w:ascii="宋体" w:hAnsi="宋体" w:cs="宋体"/>
          <w:kern w:val="0"/>
          <w:szCs w:val="21"/>
        </w:rPr>
      </w:pPr>
      <w:r>
        <w:rPr>
          <w:rFonts w:hint="eastAsia" w:ascii="宋体" w:hAnsi="宋体" w:cs="宋体"/>
          <w:kern w:val="0"/>
          <w:szCs w:val="21"/>
        </w:rPr>
        <w:t>A-2 设计阶段：</w:t>
      </w:r>
    </w:p>
    <w:p w14:paraId="349F188F">
      <w:pPr>
        <w:snapToGrid w:val="0"/>
        <w:spacing w:beforeLines="50" w:afterLines="50"/>
        <w:ind w:firstLine="840" w:firstLineChars="400"/>
        <w:rPr>
          <w:rFonts w:ascii="宋体" w:hAnsi="宋体" w:cs="宋体"/>
          <w:kern w:val="0"/>
          <w:szCs w:val="21"/>
        </w:rPr>
      </w:pPr>
      <w:r>
        <w:rPr>
          <w:rFonts w:hint="eastAsia" w:ascii="宋体" w:hAnsi="宋体" w:cs="宋体"/>
          <w:kern w:val="0"/>
          <w:szCs w:val="21"/>
        </w:rPr>
        <w:t>A-3 保修阶段：</w:t>
      </w:r>
    </w:p>
    <w:p w14:paraId="49610C06">
      <w:pPr>
        <w:snapToGrid w:val="0"/>
        <w:spacing w:beforeLines="50" w:afterLines="50"/>
        <w:ind w:firstLine="840" w:firstLineChars="400"/>
        <w:rPr>
          <w:rFonts w:ascii="宋体" w:hAnsi="宋体" w:cs="宋体"/>
          <w:szCs w:val="21"/>
        </w:rPr>
      </w:pPr>
      <w:r>
        <w:rPr>
          <w:rFonts w:hint="eastAsia" w:ascii="宋体" w:hAnsi="宋体" w:cs="宋体"/>
          <w:kern w:val="0"/>
          <w:szCs w:val="21"/>
        </w:rPr>
        <w:t xml:space="preserve">A-4 </w:t>
      </w:r>
      <w:r>
        <w:rPr>
          <w:rFonts w:hint="eastAsia" w:ascii="宋体" w:hAnsi="宋体" w:cs="宋体"/>
          <w:szCs w:val="21"/>
        </w:rPr>
        <w:t>其他（专业技术咨询、外部协调工作等）：</w:t>
      </w:r>
    </w:p>
    <w:p w14:paraId="02C1A512">
      <w:pPr>
        <w:snapToGrid w:val="0"/>
        <w:spacing w:beforeLines="50" w:afterLines="50"/>
        <w:ind w:firstLine="840" w:firstLineChars="400"/>
        <w:rPr>
          <w:rFonts w:ascii="宋体" w:hAnsi="宋体" w:cs="宋体"/>
          <w:szCs w:val="21"/>
        </w:rPr>
      </w:pPr>
    </w:p>
    <w:p w14:paraId="41FADE5F">
      <w:pPr>
        <w:snapToGrid w:val="0"/>
        <w:spacing w:beforeLines="50" w:afterLines="50"/>
        <w:ind w:firstLine="840" w:firstLineChars="400"/>
        <w:rPr>
          <w:rFonts w:ascii="宋体" w:hAnsi="宋体" w:cs="宋体"/>
          <w:szCs w:val="21"/>
        </w:rPr>
      </w:pPr>
    </w:p>
    <w:p w14:paraId="1D2C2E1E">
      <w:pPr>
        <w:snapToGrid w:val="0"/>
        <w:spacing w:beforeLines="50" w:afterLines="50"/>
        <w:ind w:firstLine="840" w:firstLineChars="400"/>
        <w:rPr>
          <w:rFonts w:ascii="宋体" w:hAnsi="宋体" w:cs="宋体"/>
          <w:szCs w:val="21"/>
        </w:rPr>
      </w:pPr>
    </w:p>
    <w:p w14:paraId="4A575857">
      <w:pPr>
        <w:snapToGrid w:val="0"/>
        <w:spacing w:beforeLines="50" w:afterLines="50"/>
        <w:ind w:firstLine="840" w:firstLineChars="400"/>
        <w:rPr>
          <w:rFonts w:ascii="宋体" w:hAnsi="宋体" w:cs="宋体"/>
          <w:szCs w:val="21"/>
        </w:rPr>
      </w:pPr>
    </w:p>
    <w:p w14:paraId="140AC42C">
      <w:pPr>
        <w:snapToGrid w:val="0"/>
        <w:spacing w:beforeLines="50" w:afterLines="50"/>
        <w:ind w:firstLine="840" w:firstLineChars="400"/>
        <w:rPr>
          <w:rFonts w:ascii="宋体" w:hAnsi="宋体" w:cs="宋体"/>
          <w:szCs w:val="21"/>
        </w:rPr>
      </w:pPr>
    </w:p>
    <w:p w14:paraId="3CDC53B7">
      <w:pPr>
        <w:snapToGrid w:val="0"/>
        <w:spacing w:beforeLines="50" w:afterLines="50"/>
        <w:ind w:firstLine="840" w:firstLineChars="400"/>
        <w:rPr>
          <w:rFonts w:ascii="宋体" w:hAnsi="宋体" w:cs="宋体"/>
          <w:szCs w:val="21"/>
        </w:rPr>
      </w:pPr>
    </w:p>
    <w:p w14:paraId="51F47892">
      <w:pPr>
        <w:snapToGrid w:val="0"/>
        <w:spacing w:beforeLines="50" w:afterLines="50"/>
        <w:ind w:firstLine="840" w:firstLineChars="400"/>
        <w:rPr>
          <w:rFonts w:ascii="宋体" w:hAnsi="宋体" w:cs="宋体"/>
          <w:szCs w:val="21"/>
        </w:rPr>
      </w:pPr>
    </w:p>
    <w:p w14:paraId="5EA74C7C">
      <w:pPr>
        <w:snapToGrid w:val="0"/>
        <w:spacing w:beforeLines="50" w:afterLines="50"/>
        <w:ind w:firstLine="840" w:firstLineChars="400"/>
        <w:rPr>
          <w:rFonts w:ascii="宋体" w:hAnsi="宋体" w:cs="宋体"/>
          <w:szCs w:val="21"/>
        </w:rPr>
      </w:pPr>
    </w:p>
    <w:p w14:paraId="5575BD35">
      <w:pPr>
        <w:snapToGrid w:val="0"/>
        <w:spacing w:beforeLines="50" w:afterLines="50"/>
        <w:ind w:firstLine="840" w:firstLineChars="400"/>
        <w:rPr>
          <w:rFonts w:ascii="宋体" w:hAnsi="宋体" w:cs="宋体"/>
          <w:szCs w:val="21"/>
        </w:rPr>
      </w:pPr>
    </w:p>
    <w:p w14:paraId="2882EE6A">
      <w:pPr>
        <w:snapToGrid w:val="0"/>
        <w:spacing w:beforeLines="50" w:afterLines="50"/>
        <w:ind w:firstLine="840" w:firstLineChars="400"/>
        <w:rPr>
          <w:rFonts w:ascii="宋体" w:hAnsi="宋体" w:cs="宋体"/>
          <w:szCs w:val="21"/>
        </w:rPr>
      </w:pPr>
    </w:p>
    <w:p w14:paraId="6F8756EA">
      <w:pPr>
        <w:snapToGrid w:val="0"/>
        <w:spacing w:beforeLines="50" w:afterLines="50"/>
        <w:ind w:firstLine="840" w:firstLineChars="400"/>
        <w:rPr>
          <w:rFonts w:ascii="宋体" w:hAnsi="宋体" w:cs="宋体"/>
          <w:szCs w:val="21"/>
        </w:rPr>
      </w:pPr>
    </w:p>
    <w:p w14:paraId="00BD4B5F">
      <w:pPr>
        <w:snapToGrid w:val="0"/>
        <w:spacing w:beforeLines="50" w:afterLines="50"/>
        <w:rPr>
          <w:rFonts w:ascii="宋体" w:hAnsi="宋体" w:cs="宋体"/>
          <w:szCs w:val="21"/>
          <w:u w:val="single"/>
        </w:rPr>
      </w:pPr>
    </w:p>
    <w:p w14:paraId="06E9141A">
      <w:pPr>
        <w:snapToGrid w:val="0"/>
        <w:spacing w:beforeLines="50" w:afterLines="50"/>
        <w:rPr>
          <w:rFonts w:ascii="宋体" w:hAnsi="宋体" w:cs="宋体"/>
          <w:szCs w:val="21"/>
          <w:u w:val="single"/>
        </w:rPr>
      </w:pPr>
    </w:p>
    <w:p w14:paraId="56432BE6">
      <w:pPr>
        <w:snapToGrid w:val="0"/>
        <w:spacing w:beforeLines="50" w:afterLines="50"/>
        <w:rPr>
          <w:rFonts w:ascii="宋体" w:hAnsi="宋体" w:cs="宋体"/>
          <w:szCs w:val="21"/>
          <w:u w:val="single"/>
        </w:rPr>
      </w:pPr>
    </w:p>
    <w:p w14:paraId="1BA93621">
      <w:pPr>
        <w:snapToGrid w:val="0"/>
        <w:spacing w:beforeLines="50" w:afterLines="50"/>
        <w:rPr>
          <w:rFonts w:ascii="宋体" w:hAnsi="宋体" w:cs="宋体"/>
          <w:szCs w:val="21"/>
          <w:u w:val="single"/>
        </w:rPr>
      </w:pPr>
    </w:p>
    <w:p w14:paraId="1A898F3D">
      <w:pPr>
        <w:snapToGrid w:val="0"/>
        <w:spacing w:beforeLines="50" w:afterLines="50"/>
        <w:rPr>
          <w:rFonts w:ascii="宋体" w:hAnsi="宋体" w:cs="宋体"/>
          <w:szCs w:val="21"/>
          <w:u w:val="single"/>
        </w:rPr>
      </w:pPr>
    </w:p>
    <w:p w14:paraId="0E1A6ED4">
      <w:pPr>
        <w:snapToGrid w:val="0"/>
        <w:spacing w:beforeLines="50" w:afterLines="50"/>
        <w:rPr>
          <w:rFonts w:ascii="宋体" w:hAnsi="宋体" w:cs="宋体"/>
          <w:szCs w:val="21"/>
          <w:u w:val="single"/>
        </w:rPr>
      </w:pPr>
    </w:p>
    <w:p w14:paraId="1203A7E4">
      <w:pPr>
        <w:snapToGrid w:val="0"/>
        <w:spacing w:beforeLines="50" w:afterLines="50"/>
        <w:rPr>
          <w:rFonts w:ascii="宋体" w:hAnsi="宋体" w:cs="宋体"/>
          <w:szCs w:val="21"/>
          <w:u w:val="single"/>
        </w:rPr>
      </w:pPr>
    </w:p>
    <w:p w14:paraId="58A39B4B">
      <w:pPr>
        <w:snapToGrid w:val="0"/>
        <w:spacing w:beforeLines="50" w:afterLines="50"/>
        <w:rPr>
          <w:rFonts w:ascii="宋体" w:hAnsi="宋体" w:cs="宋体"/>
          <w:szCs w:val="21"/>
          <w:u w:val="single"/>
        </w:rPr>
      </w:pPr>
    </w:p>
    <w:p w14:paraId="7B665575">
      <w:pPr>
        <w:snapToGrid w:val="0"/>
        <w:spacing w:beforeLines="50" w:afterLines="50"/>
        <w:rPr>
          <w:rFonts w:ascii="宋体" w:hAnsi="宋体" w:cs="宋体"/>
          <w:szCs w:val="21"/>
          <w:u w:val="single"/>
        </w:rPr>
      </w:pPr>
    </w:p>
    <w:p w14:paraId="7ED2AB4E">
      <w:pPr>
        <w:snapToGrid w:val="0"/>
        <w:spacing w:beforeLines="50" w:afterLines="50"/>
        <w:rPr>
          <w:rFonts w:ascii="宋体" w:hAnsi="宋体" w:cs="宋体"/>
          <w:szCs w:val="21"/>
          <w:u w:val="single"/>
        </w:rPr>
      </w:pPr>
    </w:p>
    <w:p w14:paraId="3E53C74C">
      <w:pPr>
        <w:snapToGrid w:val="0"/>
        <w:spacing w:beforeLines="50" w:afterLines="50"/>
        <w:rPr>
          <w:rFonts w:ascii="宋体" w:hAnsi="宋体" w:cs="宋体"/>
          <w:szCs w:val="21"/>
          <w:u w:val="single"/>
        </w:rPr>
      </w:pPr>
    </w:p>
    <w:p w14:paraId="75F6E317">
      <w:pPr>
        <w:keepNext/>
        <w:keepLines/>
        <w:spacing w:before="120" w:after="120" w:line="360" w:lineRule="auto"/>
        <w:outlineLvl w:val="1"/>
        <w:rPr>
          <w:rFonts w:ascii="宋体" w:hAnsi="宋体" w:cs="宋体"/>
          <w:sz w:val="32"/>
          <w:szCs w:val="32"/>
        </w:rPr>
      </w:pPr>
      <w:bookmarkStart w:id="74" w:name="_Toc398107920"/>
      <w:r>
        <w:rPr>
          <w:rFonts w:hint="eastAsia" w:ascii="宋体" w:hAnsi="宋体" w:cs="宋体"/>
          <w:sz w:val="32"/>
          <w:szCs w:val="32"/>
        </w:rPr>
        <w:t>附录B  委托人派遣的人员和提供的房屋、资料、设备</w:t>
      </w:r>
      <w:bookmarkEnd w:id="74"/>
    </w:p>
    <w:p w14:paraId="1844DD35">
      <w:pPr>
        <w:keepNext/>
        <w:keepLines/>
        <w:spacing w:before="20" w:after="20" w:line="360" w:lineRule="auto"/>
        <w:outlineLvl w:val="2"/>
        <w:rPr>
          <w:rFonts w:ascii="宋体" w:hAnsi="宋体" w:cs="宋体"/>
          <w:kern w:val="0"/>
          <w:sz w:val="24"/>
          <w:szCs w:val="32"/>
        </w:rPr>
      </w:pPr>
      <w:bookmarkStart w:id="75" w:name="_Toc398107921"/>
      <w:r>
        <w:rPr>
          <w:rFonts w:hint="eastAsia" w:ascii="宋体" w:hAnsi="宋体" w:cs="宋体"/>
          <w:kern w:val="0"/>
          <w:sz w:val="24"/>
          <w:szCs w:val="32"/>
        </w:rPr>
        <w:t>B-1  委托人派遣的人员</w:t>
      </w:r>
      <w:bookmarkEnd w:id="75"/>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1770"/>
        <w:gridCol w:w="2130"/>
        <w:gridCol w:w="1860"/>
      </w:tblGrid>
      <w:tr w14:paraId="0C3B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61E05D10">
            <w:pPr>
              <w:jc w:val="center"/>
              <w:rPr>
                <w:rFonts w:ascii="宋体" w:hAnsi="宋体" w:cs="宋体"/>
                <w:szCs w:val="21"/>
              </w:rPr>
            </w:pPr>
            <w:r>
              <w:rPr>
                <w:rFonts w:hint="eastAsia" w:ascii="宋体" w:hAnsi="宋体" w:cs="宋体"/>
                <w:szCs w:val="21"/>
              </w:rPr>
              <w:t>名称</w:t>
            </w:r>
          </w:p>
        </w:tc>
        <w:tc>
          <w:tcPr>
            <w:tcW w:w="1770" w:type="dxa"/>
          </w:tcPr>
          <w:p w14:paraId="3613206F">
            <w:pPr>
              <w:jc w:val="center"/>
              <w:rPr>
                <w:rFonts w:ascii="宋体" w:hAnsi="宋体" w:cs="宋体"/>
                <w:szCs w:val="21"/>
              </w:rPr>
            </w:pPr>
            <w:r>
              <w:rPr>
                <w:rFonts w:hint="eastAsia" w:ascii="宋体" w:hAnsi="宋体" w:cs="宋体"/>
                <w:szCs w:val="21"/>
              </w:rPr>
              <w:t>数量</w:t>
            </w:r>
          </w:p>
        </w:tc>
        <w:tc>
          <w:tcPr>
            <w:tcW w:w="2130" w:type="dxa"/>
          </w:tcPr>
          <w:p w14:paraId="071304D0">
            <w:pPr>
              <w:jc w:val="center"/>
              <w:rPr>
                <w:rFonts w:ascii="宋体" w:hAnsi="宋体" w:cs="宋体"/>
                <w:szCs w:val="21"/>
              </w:rPr>
            </w:pPr>
            <w:r>
              <w:rPr>
                <w:rFonts w:hint="eastAsia" w:ascii="宋体" w:hAnsi="宋体" w:cs="宋体"/>
                <w:szCs w:val="21"/>
              </w:rPr>
              <w:t>工作要求</w:t>
            </w:r>
          </w:p>
        </w:tc>
        <w:tc>
          <w:tcPr>
            <w:tcW w:w="1860" w:type="dxa"/>
          </w:tcPr>
          <w:p w14:paraId="07749C89">
            <w:pPr>
              <w:jc w:val="center"/>
              <w:rPr>
                <w:rFonts w:ascii="宋体" w:hAnsi="宋体" w:cs="宋体"/>
                <w:szCs w:val="21"/>
              </w:rPr>
            </w:pPr>
            <w:r>
              <w:rPr>
                <w:rFonts w:hint="eastAsia" w:ascii="宋体" w:hAnsi="宋体" w:cs="宋体"/>
                <w:szCs w:val="21"/>
              </w:rPr>
              <w:t>提供时间</w:t>
            </w:r>
          </w:p>
        </w:tc>
      </w:tr>
      <w:tr w14:paraId="1712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3C30A376">
            <w:pPr>
              <w:rPr>
                <w:rFonts w:ascii="宋体" w:hAnsi="宋体" w:cs="宋体"/>
                <w:szCs w:val="21"/>
              </w:rPr>
            </w:pPr>
            <w:r>
              <w:rPr>
                <w:rFonts w:hint="eastAsia" w:ascii="宋体" w:hAnsi="宋体" w:cs="宋体"/>
                <w:szCs w:val="21"/>
              </w:rPr>
              <w:t xml:space="preserve">1. 工程技术人员 </w:t>
            </w:r>
          </w:p>
        </w:tc>
        <w:tc>
          <w:tcPr>
            <w:tcW w:w="1770" w:type="dxa"/>
          </w:tcPr>
          <w:p w14:paraId="3186798E">
            <w:pPr>
              <w:rPr>
                <w:rFonts w:ascii="宋体" w:hAnsi="宋体" w:cs="宋体"/>
                <w:szCs w:val="21"/>
              </w:rPr>
            </w:pPr>
          </w:p>
        </w:tc>
        <w:tc>
          <w:tcPr>
            <w:tcW w:w="2130" w:type="dxa"/>
          </w:tcPr>
          <w:p w14:paraId="08198609">
            <w:pPr>
              <w:rPr>
                <w:rFonts w:ascii="宋体" w:hAnsi="宋体" w:cs="宋体"/>
                <w:szCs w:val="21"/>
              </w:rPr>
            </w:pPr>
          </w:p>
        </w:tc>
        <w:tc>
          <w:tcPr>
            <w:tcW w:w="1860" w:type="dxa"/>
          </w:tcPr>
          <w:p w14:paraId="7ECECC3A">
            <w:pPr>
              <w:rPr>
                <w:rFonts w:ascii="宋体" w:hAnsi="宋体" w:cs="宋体"/>
                <w:szCs w:val="21"/>
              </w:rPr>
            </w:pPr>
          </w:p>
        </w:tc>
      </w:tr>
      <w:tr w14:paraId="5DC4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5A5D6968">
            <w:pPr>
              <w:rPr>
                <w:rFonts w:ascii="宋体" w:hAnsi="宋体" w:cs="宋体"/>
                <w:szCs w:val="21"/>
              </w:rPr>
            </w:pPr>
            <w:r>
              <w:rPr>
                <w:rFonts w:hint="eastAsia" w:ascii="宋体" w:hAnsi="宋体" w:cs="宋体"/>
                <w:szCs w:val="21"/>
              </w:rPr>
              <w:t>2. 辅助工作人员</w:t>
            </w:r>
          </w:p>
        </w:tc>
        <w:tc>
          <w:tcPr>
            <w:tcW w:w="1770" w:type="dxa"/>
          </w:tcPr>
          <w:p w14:paraId="08151C95">
            <w:pPr>
              <w:rPr>
                <w:rFonts w:ascii="宋体" w:hAnsi="宋体" w:cs="宋体"/>
                <w:szCs w:val="21"/>
              </w:rPr>
            </w:pPr>
          </w:p>
        </w:tc>
        <w:tc>
          <w:tcPr>
            <w:tcW w:w="2130" w:type="dxa"/>
          </w:tcPr>
          <w:p w14:paraId="5CE31DB4">
            <w:pPr>
              <w:rPr>
                <w:rFonts w:ascii="宋体" w:hAnsi="宋体" w:cs="宋体"/>
                <w:szCs w:val="21"/>
              </w:rPr>
            </w:pPr>
          </w:p>
        </w:tc>
        <w:tc>
          <w:tcPr>
            <w:tcW w:w="1860" w:type="dxa"/>
          </w:tcPr>
          <w:p w14:paraId="5A2027A3">
            <w:pPr>
              <w:rPr>
                <w:rFonts w:ascii="宋体" w:hAnsi="宋体" w:cs="宋体"/>
                <w:szCs w:val="21"/>
              </w:rPr>
            </w:pPr>
          </w:p>
        </w:tc>
      </w:tr>
      <w:tr w14:paraId="4FA1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0831C496">
            <w:pPr>
              <w:rPr>
                <w:rFonts w:ascii="宋体" w:hAnsi="宋体" w:cs="宋体"/>
                <w:szCs w:val="21"/>
              </w:rPr>
            </w:pPr>
            <w:r>
              <w:rPr>
                <w:rFonts w:hint="eastAsia" w:ascii="宋体" w:hAnsi="宋体" w:cs="宋体"/>
                <w:szCs w:val="21"/>
              </w:rPr>
              <w:t>3. 其他人员</w:t>
            </w:r>
          </w:p>
        </w:tc>
        <w:tc>
          <w:tcPr>
            <w:tcW w:w="1770" w:type="dxa"/>
          </w:tcPr>
          <w:p w14:paraId="336E867F">
            <w:pPr>
              <w:rPr>
                <w:rFonts w:ascii="宋体" w:hAnsi="宋体" w:cs="宋体"/>
                <w:szCs w:val="21"/>
              </w:rPr>
            </w:pPr>
          </w:p>
        </w:tc>
        <w:tc>
          <w:tcPr>
            <w:tcW w:w="2130" w:type="dxa"/>
          </w:tcPr>
          <w:p w14:paraId="0234EF5C">
            <w:pPr>
              <w:rPr>
                <w:rFonts w:ascii="宋体" w:hAnsi="宋体" w:cs="宋体"/>
                <w:szCs w:val="21"/>
              </w:rPr>
            </w:pPr>
          </w:p>
        </w:tc>
        <w:tc>
          <w:tcPr>
            <w:tcW w:w="1860" w:type="dxa"/>
          </w:tcPr>
          <w:p w14:paraId="0DF8C754">
            <w:pPr>
              <w:rPr>
                <w:rFonts w:ascii="宋体" w:hAnsi="宋体" w:cs="宋体"/>
                <w:szCs w:val="21"/>
              </w:rPr>
            </w:pPr>
          </w:p>
        </w:tc>
      </w:tr>
      <w:tr w14:paraId="1DED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3C7E1962">
            <w:pPr>
              <w:rPr>
                <w:rFonts w:ascii="宋体" w:hAnsi="宋体" w:cs="宋体"/>
                <w:szCs w:val="21"/>
              </w:rPr>
            </w:pPr>
          </w:p>
        </w:tc>
        <w:tc>
          <w:tcPr>
            <w:tcW w:w="1770" w:type="dxa"/>
          </w:tcPr>
          <w:p w14:paraId="75277928">
            <w:pPr>
              <w:rPr>
                <w:rFonts w:ascii="宋体" w:hAnsi="宋体" w:cs="宋体"/>
                <w:szCs w:val="21"/>
              </w:rPr>
            </w:pPr>
          </w:p>
        </w:tc>
        <w:tc>
          <w:tcPr>
            <w:tcW w:w="2130" w:type="dxa"/>
          </w:tcPr>
          <w:p w14:paraId="13C33D14">
            <w:pPr>
              <w:rPr>
                <w:rFonts w:ascii="宋体" w:hAnsi="宋体" w:cs="宋体"/>
                <w:szCs w:val="21"/>
              </w:rPr>
            </w:pPr>
          </w:p>
        </w:tc>
        <w:tc>
          <w:tcPr>
            <w:tcW w:w="1860" w:type="dxa"/>
          </w:tcPr>
          <w:p w14:paraId="79091D4E">
            <w:pPr>
              <w:rPr>
                <w:rFonts w:ascii="宋体" w:hAnsi="宋体" w:cs="宋体"/>
                <w:szCs w:val="21"/>
              </w:rPr>
            </w:pPr>
          </w:p>
        </w:tc>
      </w:tr>
    </w:tbl>
    <w:p w14:paraId="467E1074">
      <w:pPr>
        <w:keepNext/>
        <w:keepLines/>
        <w:spacing w:before="20" w:after="20" w:line="360" w:lineRule="auto"/>
        <w:outlineLvl w:val="2"/>
        <w:rPr>
          <w:rFonts w:ascii="宋体" w:hAnsi="宋体" w:cs="宋体"/>
          <w:kern w:val="0"/>
          <w:sz w:val="24"/>
          <w:szCs w:val="32"/>
        </w:rPr>
      </w:pPr>
      <w:bookmarkStart w:id="76" w:name="_Toc398107922"/>
      <w:r>
        <w:rPr>
          <w:rFonts w:hint="eastAsia" w:ascii="宋体" w:hAnsi="宋体" w:cs="宋体"/>
          <w:kern w:val="0"/>
          <w:sz w:val="24"/>
          <w:szCs w:val="32"/>
        </w:rPr>
        <w:t>B-2  委托人提供的房屋</w:t>
      </w:r>
      <w:bookmarkEnd w:id="76"/>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2130"/>
        <w:gridCol w:w="2130"/>
        <w:gridCol w:w="1860"/>
      </w:tblGrid>
      <w:tr w14:paraId="1ACA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273768F8">
            <w:pPr>
              <w:jc w:val="center"/>
              <w:rPr>
                <w:rFonts w:ascii="宋体" w:hAnsi="宋体" w:cs="宋体"/>
                <w:szCs w:val="21"/>
              </w:rPr>
            </w:pPr>
            <w:r>
              <w:rPr>
                <w:rFonts w:hint="eastAsia" w:ascii="宋体" w:hAnsi="宋体" w:cs="宋体"/>
                <w:szCs w:val="21"/>
              </w:rPr>
              <w:t>名称</w:t>
            </w:r>
          </w:p>
        </w:tc>
        <w:tc>
          <w:tcPr>
            <w:tcW w:w="2130" w:type="dxa"/>
          </w:tcPr>
          <w:p w14:paraId="29AE7428">
            <w:pPr>
              <w:jc w:val="center"/>
              <w:rPr>
                <w:rFonts w:ascii="宋体" w:hAnsi="宋体" w:cs="宋体"/>
                <w:szCs w:val="21"/>
              </w:rPr>
            </w:pPr>
            <w:r>
              <w:rPr>
                <w:rFonts w:hint="eastAsia" w:ascii="宋体" w:hAnsi="宋体" w:cs="宋体"/>
                <w:szCs w:val="21"/>
              </w:rPr>
              <w:t>数量</w:t>
            </w:r>
          </w:p>
        </w:tc>
        <w:tc>
          <w:tcPr>
            <w:tcW w:w="2130" w:type="dxa"/>
          </w:tcPr>
          <w:p w14:paraId="49FCA782">
            <w:pPr>
              <w:jc w:val="center"/>
              <w:rPr>
                <w:rFonts w:ascii="宋体" w:hAnsi="宋体" w:cs="宋体"/>
                <w:szCs w:val="21"/>
              </w:rPr>
            </w:pPr>
            <w:r>
              <w:rPr>
                <w:rFonts w:hint="eastAsia" w:ascii="宋体" w:hAnsi="宋体" w:cs="宋体"/>
                <w:szCs w:val="21"/>
              </w:rPr>
              <w:t>面积</w:t>
            </w:r>
          </w:p>
        </w:tc>
        <w:tc>
          <w:tcPr>
            <w:tcW w:w="1860" w:type="dxa"/>
          </w:tcPr>
          <w:p w14:paraId="3C6525B1">
            <w:pPr>
              <w:jc w:val="center"/>
              <w:rPr>
                <w:rFonts w:ascii="宋体" w:hAnsi="宋体" w:cs="宋体"/>
                <w:szCs w:val="21"/>
              </w:rPr>
            </w:pPr>
            <w:r>
              <w:rPr>
                <w:rFonts w:hint="eastAsia" w:ascii="宋体" w:hAnsi="宋体" w:cs="宋体"/>
                <w:szCs w:val="21"/>
              </w:rPr>
              <w:t>提供时间</w:t>
            </w:r>
          </w:p>
        </w:tc>
      </w:tr>
      <w:tr w14:paraId="6B70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51EF26D6">
            <w:pPr>
              <w:rPr>
                <w:rFonts w:ascii="宋体" w:hAnsi="宋体" w:cs="宋体"/>
                <w:szCs w:val="21"/>
              </w:rPr>
            </w:pPr>
            <w:r>
              <w:rPr>
                <w:rFonts w:hint="eastAsia" w:ascii="宋体" w:hAnsi="宋体" w:cs="宋体"/>
                <w:szCs w:val="21"/>
              </w:rPr>
              <w:t>1. 办公用房</w:t>
            </w:r>
          </w:p>
        </w:tc>
        <w:tc>
          <w:tcPr>
            <w:tcW w:w="2130" w:type="dxa"/>
          </w:tcPr>
          <w:p w14:paraId="34A6EE93">
            <w:pPr>
              <w:ind w:firstLine="210" w:firstLineChars="100"/>
              <w:rPr>
                <w:rFonts w:ascii="宋体" w:hAnsi="宋体" w:cs="宋体"/>
                <w:szCs w:val="21"/>
              </w:rPr>
            </w:pPr>
          </w:p>
        </w:tc>
        <w:tc>
          <w:tcPr>
            <w:tcW w:w="2130" w:type="dxa"/>
          </w:tcPr>
          <w:p w14:paraId="4C30A706">
            <w:pPr>
              <w:ind w:firstLine="210" w:firstLineChars="100"/>
              <w:rPr>
                <w:rFonts w:ascii="宋体" w:hAnsi="宋体" w:cs="宋体"/>
                <w:szCs w:val="21"/>
              </w:rPr>
            </w:pPr>
          </w:p>
        </w:tc>
        <w:tc>
          <w:tcPr>
            <w:tcW w:w="1860" w:type="dxa"/>
          </w:tcPr>
          <w:p w14:paraId="2A978A15">
            <w:pPr>
              <w:rPr>
                <w:rFonts w:ascii="宋体" w:hAnsi="宋体" w:cs="宋体"/>
                <w:szCs w:val="21"/>
              </w:rPr>
            </w:pPr>
          </w:p>
        </w:tc>
      </w:tr>
      <w:tr w14:paraId="1998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2A0E1951">
            <w:pPr>
              <w:rPr>
                <w:rFonts w:ascii="宋体" w:hAnsi="宋体" w:cs="宋体"/>
                <w:szCs w:val="21"/>
              </w:rPr>
            </w:pPr>
            <w:r>
              <w:rPr>
                <w:rFonts w:hint="eastAsia" w:ascii="宋体" w:hAnsi="宋体" w:cs="宋体"/>
                <w:szCs w:val="21"/>
              </w:rPr>
              <w:t>2. 生活用房</w:t>
            </w:r>
          </w:p>
        </w:tc>
        <w:tc>
          <w:tcPr>
            <w:tcW w:w="2130" w:type="dxa"/>
          </w:tcPr>
          <w:p w14:paraId="1C2E9A74">
            <w:pPr>
              <w:rPr>
                <w:rFonts w:ascii="宋体" w:hAnsi="宋体" w:cs="宋体"/>
                <w:szCs w:val="21"/>
              </w:rPr>
            </w:pPr>
          </w:p>
        </w:tc>
        <w:tc>
          <w:tcPr>
            <w:tcW w:w="2130" w:type="dxa"/>
          </w:tcPr>
          <w:p w14:paraId="2E8B31D0">
            <w:pPr>
              <w:rPr>
                <w:rFonts w:ascii="宋体" w:hAnsi="宋体" w:cs="宋体"/>
                <w:szCs w:val="21"/>
              </w:rPr>
            </w:pPr>
          </w:p>
        </w:tc>
        <w:tc>
          <w:tcPr>
            <w:tcW w:w="1860" w:type="dxa"/>
          </w:tcPr>
          <w:p w14:paraId="4A693202">
            <w:pPr>
              <w:rPr>
                <w:rFonts w:ascii="宋体" w:hAnsi="宋体" w:cs="宋体"/>
                <w:szCs w:val="21"/>
              </w:rPr>
            </w:pPr>
          </w:p>
        </w:tc>
      </w:tr>
      <w:tr w14:paraId="56D0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45CCD39C">
            <w:pPr>
              <w:rPr>
                <w:rFonts w:ascii="宋体" w:hAnsi="宋体" w:cs="宋体"/>
                <w:dstrike/>
                <w:szCs w:val="21"/>
              </w:rPr>
            </w:pPr>
            <w:r>
              <w:rPr>
                <w:rFonts w:hint="eastAsia" w:ascii="宋体" w:hAnsi="宋体" w:cs="宋体"/>
                <w:szCs w:val="21"/>
              </w:rPr>
              <w:t>3. 试验用房</w:t>
            </w:r>
          </w:p>
        </w:tc>
        <w:tc>
          <w:tcPr>
            <w:tcW w:w="2130" w:type="dxa"/>
          </w:tcPr>
          <w:p w14:paraId="14A3928A">
            <w:pPr>
              <w:rPr>
                <w:rFonts w:ascii="宋体" w:hAnsi="宋体" w:cs="宋体"/>
                <w:szCs w:val="21"/>
              </w:rPr>
            </w:pPr>
          </w:p>
        </w:tc>
        <w:tc>
          <w:tcPr>
            <w:tcW w:w="2130" w:type="dxa"/>
          </w:tcPr>
          <w:p w14:paraId="3AC2CA6F">
            <w:pPr>
              <w:rPr>
                <w:rFonts w:ascii="宋体" w:hAnsi="宋体" w:cs="宋体"/>
                <w:szCs w:val="21"/>
              </w:rPr>
            </w:pPr>
          </w:p>
        </w:tc>
        <w:tc>
          <w:tcPr>
            <w:tcW w:w="1860" w:type="dxa"/>
          </w:tcPr>
          <w:p w14:paraId="6BC9E3A4">
            <w:pPr>
              <w:rPr>
                <w:rFonts w:ascii="宋体" w:hAnsi="宋体" w:cs="宋体"/>
                <w:szCs w:val="21"/>
              </w:rPr>
            </w:pPr>
          </w:p>
        </w:tc>
      </w:tr>
      <w:tr w14:paraId="07E3F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507D48DA">
            <w:pPr>
              <w:rPr>
                <w:rFonts w:ascii="宋体" w:hAnsi="宋体" w:cs="宋体"/>
                <w:szCs w:val="21"/>
              </w:rPr>
            </w:pPr>
            <w:r>
              <w:rPr>
                <w:rFonts w:hint="eastAsia" w:ascii="宋体" w:hAnsi="宋体" w:cs="宋体"/>
                <w:szCs w:val="21"/>
              </w:rPr>
              <w:t>4. 样品用房</w:t>
            </w:r>
          </w:p>
        </w:tc>
        <w:tc>
          <w:tcPr>
            <w:tcW w:w="2130" w:type="dxa"/>
          </w:tcPr>
          <w:p w14:paraId="5575ECD8">
            <w:pPr>
              <w:rPr>
                <w:rFonts w:ascii="宋体" w:hAnsi="宋体" w:cs="宋体"/>
                <w:szCs w:val="21"/>
              </w:rPr>
            </w:pPr>
          </w:p>
        </w:tc>
        <w:tc>
          <w:tcPr>
            <w:tcW w:w="2130" w:type="dxa"/>
          </w:tcPr>
          <w:p w14:paraId="28A76F8D">
            <w:pPr>
              <w:rPr>
                <w:rFonts w:ascii="宋体" w:hAnsi="宋体" w:cs="宋体"/>
                <w:szCs w:val="21"/>
              </w:rPr>
            </w:pPr>
          </w:p>
        </w:tc>
        <w:tc>
          <w:tcPr>
            <w:tcW w:w="1860" w:type="dxa"/>
          </w:tcPr>
          <w:p w14:paraId="38B5372E">
            <w:pPr>
              <w:rPr>
                <w:rFonts w:ascii="宋体" w:hAnsi="宋体" w:cs="宋体"/>
                <w:szCs w:val="21"/>
              </w:rPr>
            </w:pPr>
          </w:p>
        </w:tc>
      </w:tr>
      <w:tr w14:paraId="15DD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30A75D43">
            <w:pPr>
              <w:rPr>
                <w:rFonts w:ascii="宋体" w:hAnsi="宋体" w:cs="宋体"/>
                <w:szCs w:val="21"/>
              </w:rPr>
            </w:pPr>
          </w:p>
        </w:tc>
        <w:tc>
          <w:tcPr>
            <w:tcW w:w="2130" w:type="dxa"/>
          </w:tcPr>
          <w:p w14:paraId="1B12BA29">
            <w:pPr>
              <w:rPr>
                <w:rFonts w:ascii="宋体" w:hAnsi="宋体" w:cs="宋体"/>
                <w:szCs w:val="21"/>
              </w:rPr>
            </w:pPr>
          </w:p>
        </w:tc>
        <w:tc>
          <w:tcPr>
            <w:tcW w:w="2130" w:type="dxa"/>
          </w:tcPr>
          <w:p w14:paraId="4EC264BF">
            <w:pPr>
              <w:rPr>
                <w:rFonts w:ascii="宋体" w:hAnsi="宋体" w:cs="宋体"/>
                <w:szCs w:val="21"/>
              </w:rPr>
            </w:pPr>
          </w:p>
        </w:tc>
        <w:tc>
          <w:tcPr>
            <w:tcW w:w="1860" w:type="dxa"/>
          </w:tcPr>
          <w:p w14:paraId="4BB6EB7B">
            <w:pPr>
              <w:rPr>
                <w:rFonts w:ascii="宋体" w:hAnsi="宋体" w:cs="宋体"/>
                <w:szCs w:val="21"/>
              </w:rPr>
            </w:pPr>
          </w:p>
        </w:tc>
      </w:tr>
      <w:tr w14:paraId="29FD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384E902B">
            <w:pPr>
              <w:rPr>
                <w:rFonts w:ascii="宋体" w:hAnsi="宋体" w:cs="宋体"/>
                <w:szCs w:val="21"/>
              </w:rPr>
            </w:pPr>
            <w:r>
              <w:rPr>
                <w:rFonts w:hint="eastAsia" w:ascii="宋体" w:hAnsi="宋体" w:cs="宋体"/>
                <w:szCs w:val="21"/>
              </w:rPr>
              <w:t>用餐及其他生活条件</w:t>
            </w:r>
          </w:p>
        </w:tc>
        <w:tc>
          <w:tcPr>
            <w:tcW w:w="6120" w:type="dxa"/>
            <w:gridSpan w:val="3"/>
          </w:tcPr>
          <w:p w14:paraId="74E80266">
            <w:pPr>
              <w:rPr>
                <w:rFonts w:ascii="宋体" w:hAnsi="宋体" w:cs="宋体"/>
                <w:szCs w:val="21"/>
              </w:rPr>
            </w:pPr>
          </w:p>
        </w:tc>
      </w:tr>
    </w:tbl>
    <w:p w14:paraId="345E5396">
      <w:pPr>
        <w:keepNext/>
        <w:keepLines/>
        <w:spacing w:before="20" w:after="20" w:line="360" w:lineRule="auto"/>
        <w:outlineLvl w:val="2"/>
        <w:rPr>
          <w:rFonts w:ascii="宋体" w:hAnsi="宋体" w:cs="宋体"/>
          <w:kern w:val="0"/>
          <w:sz w:val="24"/>
          <w:szCs w:val="32"/>
        </w:rPr>
      </w:pPr>
      <w:bookmarkStart w:id="77" w:name="_Toc398107923"/>
      <w:r>
        <w:rPr>
          <w:rFonts w:hint="eastAsia" w:ascii="宋体" w:hAnsi="宋体" w:cs="宋体"/>
          <w:kern w:val="0"/>
          <w:sz w:val="24"/>
          <w:szCs w:val="32"/>
        </w:rPr>
        <w:t>B-3  委托人提供的资料</w:t>
      </w:r>
      <w:bookmarkEnd w:id="77"/>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491"/>
        <w:gridCol w:w="2147"/>
        <w:gridCol w:w="2082"/>
      </w:tblGrid>
      <w:tr w14:paraId="3BE8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0E728E86">
            <w:pPr>
              <w:jc w:val="center"/>
              <w:rPr>
                <w:rFonts w:ascii="宋体" w:hAnsi="宋体" w:cs="宋体"/>
                <w:kern w:val="0"/>
                <w:szCs w:val="21"/>
              </w:rPr>
            </w:pPr>
            <w:r>
              <w:rPr>
                <w:rFonts w:hint="eastAsia" w:ascii="宋体" w:hAnsi="宋体" w:cs="宋体"/>
                <w:kern w:val="0"/>
                <w:szCs w:val="21"/>
              </w:rPr>
              <w:t>名称</w:t>
            </w:r>
          </w:p>
        </w:tc>
        <w:tc>
          <w:tcPr>
            <w:tcW w:w="1491" w:type="dxa"/>
          </w:tcPr>
          <w:p w14:paraId="16654ABA">
            <w:pPr>
              <w:jc w:val="center"/>
              <w:rPr>
                <w:rFonts w:ascii="宋体" w:hAnsi="宋体" w:cs="宋体"/>
                <w:kern w:val="0"/>
                <w:szCs w:val="21"/>
              </w:rPr>
            </w:pPr>
            <w:r>
              <w:rPr>
                <w:rFonts w:hint="eastAsia" w:ascii="宋体" w:hAnsi="宋体" w:cs="宋体"/>
                <w:kern w:val="0"/>
                <w:szCs w:val="21"/>
              </w:rPr>
              <w:t>份数</w:t>
            </w:r>
          </w:p>
        </w:tc>
        <w:tc>
          <w:tcPr>
            <w:tcW w:w="2147" w:type="dxa"/>
          </w:tcPr>
          <w:p w14:paraId="3115DC66">
            <w:pPr>
              <w:jc w:val="center"/>
              <w:rPr>
                <w:rFonts w:ascii="宋体" w:hAnsi="宋体" w:cs="宋体"/>
                <w:kern w:val="0"/>
                <w:szCs w:val="21"/>
              </w:rPr>
            </w:pPr>
            <w:r>
              <w:rPr>
                <w:rFonts w:hint="eastAsia" w:ascii="宋体" w:hAnsi="宋体" w:cs="宋体"/>
                <w:kern w:val="0"/>
                <w:szCs w:val="21"/>
              </w:rPr>
              <w:t>提供时间</w:t>
            </w:r>
          </w:p>
        </w:tc>
        <w:tc>
          <w:tcPr>
            <w:tcW w:w="2082" w:type="dxa"/>
          </w:tcPr>
          <w:p w14:paraId="1CA53B4A">
            <w:pPr>
              <w:jc w:val="center"/>
              <w:rPr>
                <w:rFonts w:ascii="宋体" w:hAnsi="宋体" w:cs="宋体"/>
                <w:kern w:val="0"/>
                <w:szCs w:val="21"/>
              </w:rPr>
            </w:pPr>
            <w:r>
              <w:rPr>
                <w:rFonts w:hint="eastAsia" w:ascii="宋体" w:hAnsi="宋体" w:cs="宋体"/>
                <w:kern w:val="0"/>
                <w:szCs w:val="21"/>
              </w:rPr>
              <w:t>备注</w:t>
            </w:r>
          </w:p>
        </w:tc>
      </w:tr>
      <w:tr w14:paraId="1793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213F670F">
            <w:pPr>
              <w:rPr>
                <w:rFonts w:ascii="宋体" w:hAnsi="宋体" w:cs="宋体"/>
                <w:kern w:val="0"/>
                <w:szCs w:val="21"/>
              </w:rPr>
            </w:pPr>
            <w:r>
              <w:rPr>
                <w:rFonts w:hint="eastAsia" w:ascii="宋体" w:hAnsi="宋体" w:cs="宋体"/>
                <w:kern w:val="0"/>
                <w:szCs w:val="21"/>
              </w:rPr>
              <w:t>1. 工程立项文件</w:t>
            </w:r>
          </w:p>
        </w:tc>
        <w:tc>
          <w:tcPr>
            <w:tcW w:w="1491" w:type="dxa"/>
          </w:tcPr>
          <w:p w14:paraId="3B187A42">
            <w:pPr>
              <w:rPr>
                <w:rFonts w:ascii="宋体" w:hAnsi="宋体" w:cs="宋体"/>
                <w:kern w:val="0"/>
                <w:szCs w:val="21"/>
              </w:rPr>
            </w:pPr>
          </w:p>
        </w:tc>
        <w:tc>
          <w:tcPr>
            <w:tcW w:w="2147" w:type="dxa"/>
          </w:tcPr>
          <w:p w14:paraId="5B5EFC92">
            <w:pPr>
              <w:rPr>
                <w:rFonts w:ascii="宋体" w:hAnsi="宋体" w:cs="宋体"/>
                <w:kern w:val="0"/>
                <w:szCs w:val="21"/>
              </w:rPr>
            </w:pPr>
          </w:p>
        </w:tc>
        <w:tc>
          <w:tcPr>
            <w:tcW w:w="2082" w:type="dxa"/>
          </w:tcPr>
          <w:p w14:paraId="59F30768">
            <w:pPr>
              <w:rPr>
                <w:rFonts w:ascii="宋体" w:hAnsi="宋体" w:cs="宋体"/>
                <w:kern w:val="0"/>
                <w:szCs w:val="21"/>
              </w:rPr>
            </w:pPr>
          </w:p>
        </w:tc>
      </w:tr>
      <w:tr w14:paraId="07CD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49B72989">
            <w:pPr>
              <w:rPr>
                <w:rFonts w:ascii="宋体" w:hAnsi="宋体" w:cs="宋体"/>
                <w:kern w:val="0"/>
                <w:szCs w:val="21"/>
              </w:rPr>
            </w:pPr>
            <w:r>
              <w:rPr>
                <w:rFonts w:hint="eastAsia" w:ascii="宋体" w:hAnsi="宋体" w:cs="宋体"/>
                <w:kern w:val="0"/>
                <w:szCs w:val="21"/>
              </w:rPr>
              <w:t>2. 工程勘察文件</w:t>
            </w:r>
          </w:p>
        </w:tc>
        <w:tc>
          <w:tcPr>
            <w:tcW w:w="1491" w:type="dxa"/>
          </w:tcPr>
          <w:p w14:paraId="12E0715E">
            <w:pPr>
              <w:rPr>
                <w:rFonts w:ascii="宋体" w:hAnsi="宋体" w:cs="宋体"/>
                <w:kern w:val="0"/>
                <w:szCs w:val="21"/>
              </w:rPr>
            </w:pPr>
          </w:p>
        </w:tc>
        <w:tc>
          <w:tcPr>
            <w:tcW w:w="2147" w:type="dxa"/>
          </w:tcPr>
          <w:p w14:paraId="5306C219">
            <w:pPr>
              <w:rPr>
                <w:rFonts w:ascii="宋体" w:hAnsi="宋体" w:cs="宋体"/>
                <w:kern w:val="0"/>
                <w:szCs w:val="21"/>
              </w:rPr>
            </w:pPr>
          </w:p>
        </w:tc>
        <w:tc>
          <w:tcPr>
            <w:tcW w:w="2082" w:type="dxa"/>
          </w:tcPr>
          <w:p w14:paraId="566C84F6">
            <w:pPr>
              <w:rPr>
                <w:rFonts w:ascii="宋体" w:hAnsi="宋体" w:cs="宋体"/>
                <w:kern w:val="0"/>
                <w:szCs w:val="21"/>
              </w:rPr>
            </w:pPr>
          </w:p>
        </w:tc>
      </w:tr>
      <w:tr w14:paraId="2EC4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7772F965">
            <w:pPr>
              <w:rPr>
                <w:rFonts w:ascii="宋体" w:hAnsi="宋体" w:cs="宋体"/>
                <w:kern w:val="0"/>
                <w:szCs w:val="21"/>
              </w:rPr>
            </w:pPr>
            <w:r>
              <w:rPr>
                <w:rFonts w:hint="eastAsia" w:ascii="宋体" w:hAnsi="宋体" w:cs="宋体"/>
                <w:kern w:val="0"/>
                <w:szCs w:val="21"/>
              </w:rPr>
              <w:t>3. 工程设计及施工图纸</w:t>
            </w:r>
          </w:p>
        </w:tc>
        <w:tc>
          <w:tcPr>
            <w:tcW w:w="1491" w:type="dxa"/>
          </w:tcPr>
          <w:p w14:paraId="591F5215">
            <w:pPr>
              <w:rPr>
                <w:rFonts w:ascii="宋体" w:hAnsi="宋体" w:cs="宋体"/>
                <w:kern w:val="0"/>
                <w:szCs w:val="21"/>
              </w:rPr>
            </w:pPr>
          </w:p>
        </w:tc>
        <w:tc>
          <w:tcPr>
            <w:tcW w:w="2147" w:type="dxa"/>
          </w:tcPr>
          <w:p w14:paraId="74794168">
            <w:pPr>
              <w:rPr>
                <w:rFonts w:ascii="宋体" w:hAnsi="宋体" w:cs="宋体"/>
                <w:kern w:val="0"/>
                <w:szCs w:val="21"/>
              </w:rPr>
            </w:pPr>
          </w:p>
        </w:tc>
        <w:tc>
          <w:tcPr>
            <w:tcW w:w="2082" w:type="dxa"/>
          </w:tcPr>
          <w:p w14:paraId="7051D930">
            <w:pPr>
              <w:rPr>
                <w:rFonts w:ascii="宋体" w:hAnsi="宋体" w:cs="宋体"/>
                <w:kern w:val="0"/>
                <w:szCs w:val="21"/>
              </w:rPr>
            </w:pPr>
          </w:p>
        </w:tc>
      </w:tr>
      <w:tr w14:paraId="7E64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703D2C0E">
            <w:pPr>
              <w:rPr>
                <w:rFonts w:ascii="宋体" w:hAnsi="宋体" w:cs="宋体"/>
                <w:kern w:val="0"/>
                <w:szCs w:val="21"/>
              </w:rPr>
            </w:pPr>
            <w:r>
              <w:rPr>
                <w:rFonts w:hint="eastAsia" w:ascii="宋体" w:hAnsi="宋体" w:cs="宋体"/>
                <w:kern w:val="0"/>
                <w:szCs w:val="21"/>
              </w:rPr>
              <w:t>4. 工程承包合同及其他相关合同</w:t>
            </w:r>
          </w:p>
        </w:tc>
        <w:tc>
          <w:tcPr>
            <w:tcW w:w="1491" w:type="dxa"/>
          </w:tcPr>
          <w:p w14:paraId="3E6A6E19">
            <w:pPr>
              <w:rPr>
                <w:rFonts w:ascii="宋体" w:hAnsi="宋体" w:cs="宋体"/>
                <w:kern w:val="0"/>
                <w:szCs w:val="21"/>
              </w:rPr>
            </w:pPr>
          </w:p>
        </w:tc>
        <w:tc>
          <w:tcPr>
            <w:tcW w:w="2147" w:type="dxa"/>
          </w:tcPr>
          <w:p w14:paraId="0AD07032">
            <w:pPr>
              <w:rPr>
                <w:rFonts w:ascii="宋体" w:hAnsi="宋体" w:cs="宋体"/>
                <w:kern w:val="0"/>
                <w:szCs w:val="21"/>
              </w:rPr>
            </w:pPr>
          </w:p>
        </w:tc>
        <w:tc>
          <w:tcPr>
            <w:tcW w:w="2082" w:type="dxa"/>
          </w:tcPr>
          <w:p w14:paraId="360FB43B">
            <w:pPr>
              <w:rPr>
                <w:rFonts w:ascii="宋体" w:hAnsi="宋体" w:cs="宋体"/>
                <w:kern w:val="0"/>
                <w:szCs w:val="21"/>
              </w:rPr>
            </w:pPr>
          </w:p>
        </w:tc>
      </w:tr>
      <w:tr w14:paraId="7829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4D78F5C5">
            <w:pPr>
              <w:rPr>
                <w:rFonts w:ascii="宋体" w:hAnsi="宋体" w:cs="宋体"/>
                <w:kern w:val="0"/>
                <w:szCs w:val="21"/>
              </w:rPr>
            </w:pPr>
            <w:r>
              <w:rPr>
                <w:rFonts w:hint="eastAsia" w:ascii="宋体" w:hAnsi="宋体" w:cs="宋体"/>
                <w:kern w:val="0"/>
                <w:szCs w:val="21"/>
              </w:rPr>
              <w:t>5. 施工许可文件</w:t>
            </w:r>
          </w:p>
        </w:tc>
        <w:tc>
          <w:tcPr>
            <w:tcW w:w="1491" w:type="dxa"/>
          </w:tcPr>
          <w:p w14:paraId="71E0D6FB">
            <w:pPr>
              <w:rPr>
                <w:rFonts w:ascii="宋体" w:hAnsi="宋体" w:cs="宋体"/>
                <w:kern w:val="0"/>
                <w:szCs w:val="21"/>
              </w:rPr>
            </w:pPr>
          </w:p>
        </w:tc>
        <w:tc>
          <w:tcPr>
            <w:tcW w:w="2147" w:type="dxa"/>
          </w:tcPr>
          <w:p w14:paraId="5CDB283A">
            <w:pPr>
              <w:rPr>
                <w:rFonts w:ascii="宋体" w:hAnsi="宋体" w:cs="宋体"/>
                <w:kern w:val="0"/>
                <w:szCs w:val="21"/>
              </w:rPr>
            </w:pPr>
          </w:p>
        </w:tc>
        <w:tc>
          <w:tcPr>
            <w:tcW w:w="2082" w:type="dxa"/>
          </w:tcPr>
          <w:p w14:paraId="2E96553E">
            <w:pPr>
              <w:rPr>
                <w:rFonts w:ascii="宋体" w:hAnsi="宋体" w:cs="宋体"/>
                <w:kern w:val="0"/>
                <w:szCs w:val="21"/>
              </w:rPr>
            </w:pPr>
          </w:p>
        </w:tc>
      </w:tr>
      <w:tr w14:paraId="54DC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0942657D">
            <w:pPr>
              <w:rPr>
                <w:rFonts w:ascii="宋体" w:hAnsi="宋体" w:cs="宋体"/>
                <w:kern w:val="0"/>
                <w:szCs w:val="21"/>
              </w:rPr>
            </w:pPr>
            <w:r>
              <w:rPr>
                <w:rFonts w:hint="eastAsia" w:ascii="宋体" w:hAnsi="宋体" w:cs="宋体"/>
                <w:kern w:val="0"/>
                <w:szCs w:val="21"/>
              </w:rPr>
              <w:t>6. 其他文件</w:t>
            </w:r>
          </w:p>
        </w:tc>
        <w:tc>
          <w:tcPr>
            <w:tcW w:w="1491" w:type="dxa"/>
          </w:tcPr>
          <w:p w14:paraId="7CA4F827">
            <w:pPr>
              <w:rPr>
                <w:rFonts w:ascii="宋体" w:hAnsi="宋体" w:cs="宋体"/>
                <w:kern w:val="0"/>
                <w:szCs w:val="21"/>
              </w:rPr>
            </w:pPr>
          </w:p>
        </w:tc>
        <w:tc>
          <w:tcPr>
            <w:tcW w:w="2147" w:type="dxa"/>
          </w:tcPr>
          <w:p w14:paraId="64751BE6">
            <w:pPr>
              <w:rPr>
                <w:rFonts w:ascii="宋体" w:hAnsi="宋体" w:cs="宋体"/>
                <w:kern w:val="0"/>
                <w:szCs w:val="21"/>
              </w:rPr>
            </w:pPr>
          </w:p>
        </w:tc>
        <w:tc>
          <w:tcPr>
            <w:tcW w:w="2082" w:type="dxa"/>
          </w:tcPr>
          <w:p w14:paraId="4B8F82CC">
            <w:pPr>
              <w:rPr>
                <w:rFonts w:ascii="宋体" w:hAnsi="宋体" w:cs="宋体"/>
                <w:kern w:val="0"/>
                <w:szCs w:val="21"/>
              </w:rPr>
            </w:pPr>
          </w:p>
        </w:tc>
      </w:tr>
      <w:tr w14:paraId="39D6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1C441180">
            <w:pPr>
              <w:rPr>
                <w:rFonts w:ascii="宋体" w:hAnsi="宋体" w:cs="宋体"/>
                <w:kern w:val="0"/>
                <w:szCs w:val="21"/>
              </w:rPr>
            </w:pPr>
          </w:p>
        </w:tc>
        <w:tc>
          <w:tcPr>
            <w:tcW w:w="1491" w:type="dxa"/>
          </w:tcPr>
          <w:p w14:paraId="0E5C8030">
            <w:pPr>
              <w:rPr>
                <w:rFonts w:ascii="宋体" w:hAnsi="宋体" w:cs="宋体"/>
                <w:kern w:val="0"/>
                <w:szCs w:val="21"/>
              </w:rPr>
            </w:pPr>
          </w:p>
        </w:tc>
        <w:tc>
          <w:tcPr>
            <w:tcW w:w="2147" w:type="dxa"/>
          </w:tcPr>
          <w:p w14:paraId="23ACBE4B">
            <w:pPr>
              <w:rPr>
                <w:rFonts w:ascii="宋体" w:hAnsi="宋体" w:cs="宋体"/>
                <w:kern w:val="0"/>
                <w:szCs w:val="21"/>
              </w:rPr>
            </w:pPr>
          </w:p>
        </w:tc>
        <w:tc>
          <w:tcPr>
            <w:tcW w:w="2082" w:type="dxa"/>
          </w:tcPr>
          <w:p w14:paraId="3D281738">
            <w:pPr>
              <w:rPr>
                <w:rFonts w:ascii="宋体" w:hAnsi="宋体" w:cs="宋体"/>
                <w:kern w:val="0"/>
                <w:szCs w:val="21"/>
              </w:rPr>
            </w:pPr>
          </w:p>
        </w:tc>
      </w:tr>
    </w:tbl>
    <w:p w14:paraId="5179A1D4">
      <w:pPr>
        <w:keepNext/>
        <w:keepLines/>
        <w:spacing w:before="20" w:after="20" w:line="360" w:lineRule="auto"/>
        <w:outlineLvl w:val="2"/>
        <w:rPr>
          <w:rFonts w:ascii="宋体" w:hAnsi="宋体" w:cs="宋体"/>
          <w:kern w:val="0"/>
          <w:sz w:val="24"/>
          <w:szCs w:val="32"/>
        </w:rPr>
      </w:pPr>
      <w:bookmarkStart w:id="78" w:name="_Toc398107924"/>
      <w:r>
        <w:rPr>
          <w:rFonts w:hint="eastAsia" w:ascii="宋体" w:hAnsi="宋体" w:cs="宋体"/>
          <w:kern w:val="0"/>
          <w:sz w:val="24"/>
          <w:szCs w:val="32"/>
        </w:rPr>
        <w:t>B-4 委托人提供的设备</w:t>
      </w:r>
      <w:bookmarkEnd w:id="78"/>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590"/>
        <w:gridCol w:w="2130"/>
        <w:gridCol w:w="1860"/>
      </w:tblGrid>
      <w:tr w14:paraId="79F2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70B7A0F7">
            <w:pPr>
              <w:jc w:val="center"/>
              <w:rPr>
                <w:rFonts w:ascii="宋体" w:hAnsi="宋体" w:cs="宋体"/>
                <w:szCs w:val="21"/>
              </w:rPr>
            </w:pPr>
            <w:r>
              <w:rPr>
                <w:rFonts w:hint="eastAsia" w:ascii="宋体" w:hAnsi="宋体" w:cs="宋体"/>
                <w:szCs w:val="21"/>
              </w:rPr>
              <w:t>名称</w:t>
            </w:r>
          </w:p>
        </w:tc>
        <w:tc>
          <w:tcPr>
            <w:tcW w:w="1590" w:type="dxa"/>
          </w:tcPr>
          <w:p w14:paraId="1E02D388">
            <w:pPr>
              <w:jc w:val="center"/>
              <w:rPr>
                <w:rFonts w:ascii="宋体" w:hAnsi="宋体" w:cs="宋体"/>
                <w:szCs w:val="21"/>
              </w:rPr>
            </w:pPr>
            <w:r>
              <w:rPr>
                <w:rFonts w:hint="eastAsia" w:ascii="宋体" w:hAnsi="宋体" w:cs="宋体"/>
                <w:szCs w:val="21"/>
              </w:rPr>
              <w:t>数量</w:t>
            </w:r>
          </w:p>
        </w:tc>
        <w:tc>
          <w:tcPr>
            <w:tcW w:w="2130" w:type="dxa"/>
          </w:tcPr>
          <w:p w14:paraId="2B4985B9">
            <w:pPr>
              <w:jc w:val="center"/>
              <w:rPr>
                <w:rFonts w:ascii="宋体" w:hAnsi="宋体" w:cs="宋体"/>
                <w:szCs w:val="21"/>
              </w:rPr>
            </w:pPr>
            <w:r>
              <w:rPr>
                <w:rFonts w:hint="eastAsia" w:ascii="宋体" w:hAnsi="宋体" w:cs="宋体"/>
                <w:szCs w:val="21"/>
              </w:rPr>
              <w:t>型号与规格</w:t>
            </w:r>
          </w:p>
        </w:tc>
        <w:tc>
          <w:tcPr>
            <w:tcW w:w="1860" w:type="dxa"/>
          </w:tcPr>
          <w:p w14:paraId="50507743">
            <w:pPr>
              <w:jc w:val="center"/>
              <w:rPr>
                <w:rFonts w:ascii="宋体" w:hAnsi="宋体" w:cs="宋体"/>
                <w:szCs w:val="21"/>
              </w:rPr>
            </w:pPr>
            <w:r>
              <w:rPr>
                <w:rFonts w:hint="eastAsia" w:ascii="宋体" w:hAnsi="宋体" w:cs="宋体"/>
                <w:szCs w:val="21"/>
              </w:rPr>
              <w:t>提供时间</w:t>
            </w:r>
          </w:p>
        </w:tc>
      </w:tr>
      <w:tr w14:paraId="420B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35D7E2CA">
            <w:pPr>
              <w:rPr>
                <w:rFonts w:ascii="宋体" w:hAnsi="宋体" w:cs="宋体"/>
                <w:szCs w:val="21"/>
              </w:rPr>
            </w:pPr>
            <w:r>
              <w:rPr>
                <w:rFonts w:hint="eastAsia" w:ascii="宋体" w:hAnsi="宋体" w:cs="宋体"/>
                <w:szCs w:val="21"/>
              </w:rPr>
              <w:t>1. 通讯设备</w:t>
            </w:r>
          </w:p>
        </w:tc>
        <w:tc>
          <w:tcPr>
            <w:tcW w:w="1590" w:type="dxa"/>
          </w:tcPr>
          <w:p w14:paraId="166D84DF">
            <w:pPr>
              <w:rPr>
                <w:rFonts w:ascii="宋体" w:hAnsi="宋体" w:cs="宋体"/>
                <w:szCs w:val="21"/>
              </w:rPr>
            </w:pPr>
          </w:p>
        </w:tc>
        <w:tc>
          <w:tcPr>
            <w:tcW w:w="2130" w:type="dxa"/>
          </w:tcPr>
          <w:p w14:paraId="21AEE02D">
            <w:pPr>
              <w:rPr>
                <w:rFonts w:ascii="宋体" w:hAnsi="宋体" w:cs="宋体"/>
                <w:szCs w:val="21"/>
              </w:rPr>
            </w:pPr>
          </w:p>
        </w:tc>
        <w:tc>
          <w:tcPr>
            <w:tcW w:w="1860" w:type="dxa"/>
          </w:tcPr>
          <w:p w14:paraId="34BFA35A">
            <w:pPr>
              <w:rPr>
                <w:rFonts w:ascii="宋体" w:hAnsi="宋体" w:cs="宋体"/>
                <w:szCs w:val="21"/>
              </w:rPr>
            </w:pPr>
          </w:p>
        </w:tc>
      </w:tr>
      <w:tr w14:paraId="74C0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21D0546B">
            <w:pPr>
              <w:rPr>
                <w:rFonts w:ascii="宋体" w:hAnsi="宋体" w:cs="宋体"/>
                <w:szCs w:val="21"/>
              </w:rPr>
            </w:pPr>
            <w:r>
              <w:rPr>
                <w:rFonts w:hint="eastAsia" w:ascii="宋体" w:hAnsi="宋体" w:cs="宋体"/>
                <w:szCs w:val="21"/>
              </w:rPr>
              <w:t>2. 办公设备</w:t>
            </w:r>
          </w:p>
        </w:tc>
        <w:tc>
          <w:tcPr>
            <w:tcW w:w="1590" w:type="dxa"/>
          </w:tcPr>
          <w:p w14:paraId="748D867A">
            <w:pPr>
              <w:rPr>
                <w:rFonts w:ascii="宋体" w:hAnsi="宋体" w:cs="宋体"/>
                <w:szCs w:val="21"/>
              </w:rPr>
            </w:pPr>
          </w:p>
        </w:tc>
        <w:tc>
          <w:tcPr>
            <w:tcW w:w="2130" w:type="dxa"/>
          </w:tcPr>
          <w:p w14:paraId="2F751799">
            <w:pPr>
              <w:rPr>
                <w:rFonts w:ascii="宋体" w:hAnsi="宋体" w:cs="宋体"/>
                <w:szCs w:val="21"/>
              </w:rPr>
            </w:pPr>
          </w:p>
        </w:tc>
        <w:tc>
          <w:tcPr>
            <w:tcW w:w="1860" w:type="dxa"/>
          </w:tcPr>
          <w:p w14:paraId="5A7C1E88">
            <w:pPr>
              <w:rPr>
                <w:rFonts w:ascii="宋体" w:hAnsi="宋体" w:cs="宋体"/>
                <w:szCs w:val="21"/>
              </w:rPr>
            </w:pPr>
          </w:p>
        </w:tc>
      </w:tr>
      <w:tr w14:paraId="7E6E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486CD9BD">
            <w:pPr>
              <w:rPr>
                <w:rFonts w:ascii="宋体" w:hAnsi="宋体" w:cs="宋体"/>
                <w:szCs w:val="21"/>
              </w:rPr>
            </w:pPr>
            <w:r>
              <w:rPr>
                <w:rFonts w:hint="eastAsia" w:ascii="宋体" w:hAnsi="宋体" w:cs="宋体"/>
                <w:szCs w:val="21"/>
              </w:rPr>
              <w:t>3. 交通工具</w:t>
            </w:r>
          </w:p>
        </w:tc>
        <w:tc>
          <w:tcPr>
            <w:tcW w:w="1590" w:type="dxa"/>
          </w:tcPr>
          <w:p w14:paraId="6D69B98C">
            <w:pPr>
              <w:rPr>
                <w:rFonts w:ascii="宋体" w:hAnsi="宋体" w:cs="宋体"/>
                <w:szCs w:val="21"/>
              </w:rPr>
            </w:pPr>
          </w:p>
        </w:tc>
        <w:tc>
          <w:tcPr>
            <w:tcW w:w="2130" w:type="dxa"/>
          </w:tcPr>
          <w:p w14:paraId="0E8EE377">
            <w:pPr>
              <w:rPr>
                <w:rFonts w:ascii="宋体" w:hAnsi="宋体" w:cs="宋体"/>
                <w:szCs w:val="21"/>
              </w:rPr>
            </w:pPr>
          </w:p>
        </w:tc>
        <w:tc>
          <w:tcPr>
            <w:tcW w:w="1860" w:type="dxa"/>
          </w:tcPr>
          <w:p w14:paraId="6A982BF3">
            <w:pPr>
              <w:rPr>
                <w:rFonts w:ascii="宋体" w:hAnsi="宋体" w:cs="宋体"/>
                <w:szCs w:val="21"/>
              </w:rPr>
            </w:pPr>
          </w:p>
        </w:tc>
      </w:tr>
      <w:tr w14:paraId="6105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25311216">
            <w:pPr>
              <w:rPr>
                <w:rFonts w:ascii="宋体" w:hAnsi="宋体" w:cs="宋体"/>
                <w:szCs w:val="21"/>
              </w:rPr>
            </w:pPr>
            <w:r>
              <w:rPr>
                <w:rFonts w:hint="eastAsia" w:ascii="宋体" w:hAnsi="宋体" w:cs="宋体"/>
                <w:szCs w:val="21"/>
              </w:rPr>
              <w:t>4. 检测和试验设备</w:t>
            </w:r>
          </w:p>
        </w:tc>
        <w:tc>
          <w:tcPr>
            <w:tcW w:w="1590" w:type="dxa"/>
          </w:tcPr>
          <w:p w14:paraId="3502B345">
            <w:pPr>
              <w:rPr>
                <w:rFonts w:ascii="宋体" w:hAnsi="宋体" w:cs="宋体"/>
                <w:szCs w:val="21"/>
              </w:rPr>
            </w:pPr>
          </w:p>
        </w:tc>
        <w:tc>
          <w:tcPr>
            <w:tcW w:w="2130" w:type="dxa"/>
          </w:tcPr>
          <w:p w14:paraId="161D534A">
            <w:pPr>
              <w:rPr>
                <w:rFonts w:ascii="宋体" w:hAnsi="宋体" w:cs="宋体"/>
                <w:szCs w:val="21"/>
              </w:rPr>
            </w:pPr>
          </w:p>
        </w:tc>
        <w:tc>
          <w:tcPr>
            <w:tcW w:w="1860" w:type="dxa"/>
          </w:tcPr>
          <w:p w14:paraId="53BE9600">
            <w:pPr>
              <w:rPr>
                <w:rFonts w:ascii="宋体" w:hAnsi="宋体" w:cs="宋体"/>
                <w:szCs w:val="21"/>
              </w:rPr>
            </w:pPr>
          </w:p>
        </w:tc>
      </w:tr>
      <w:tr w14:paraId="5842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05B10B7A">
            <w:pPr>
              <w:rPr>
                <w:rFonts w:ascii="宋体" w:hAnsi="宋体" w:cs="宋体"/>
                <w:szCs w:val="21"/>
              </w:rPr>
            </w:pPr>
          </w:p>
        </w:tc>
        <w:tc>
          <w:tcPr>
            <w:tcW w:w="1590" w:type="dxa"/>
          </w:tcPr>
          <w:p w14:paraId="196D47ED">
            <w:pPr>
              <w:rPr>
                <w:rFonts w:ascii="宋体" w:hAnsi="宋体" w:cs="宋体"/>
                <w:szCs w:val="21"/>
              </w:rPr>
            </w:pPr>
          </w:p>
        </w:tc>
        <w:tc>
          <w:tcPr>
            <w:tcW w:w="2130" w:type="dxa"/>
          </w:tcPr>
          <w:p w14:paraId="0CB840DF">
            <w:pPr>
              <w:rPr>
                <w:rFonts w:ascii="宋体" w:hAnsi="宋体" w:cs="宋体"/>
                <w:szCs w:val="21"/>
              </w:rPr>
            </w:pPr>
          </w:p>
        </w:tc>
        <w:tc>
          <w:tcPr>
            <w:tcW w:w="1860" w:type="dxa"/>
          </w:tcPr>
          <w:p w14:paraId="65A18897">
            <w:pPr>
              <w:rPr>
                <w:rFonts w:ascii="宋体" w:hAnsi="宋体" w:cs="宋体"/>
                <w:szCs w:val="21"/>
              </w:rPr>
            </w:pPr>
          </w:p>
        </w:tc>
      </w:tr>
    </w:tbl>
    <w:p w14:paraId="7D0E4F78">
      <w:pPr>
        <w:pStyle w:val="3"/>
        <w:spacing w:line="360" w:lineRule="auto"/>
        <w:rPr>
          <w:rFonts w:ascii="宋体" w:hAnsi="宋体" w:cs="宋体"/>
          <w:b/>
          <w:szCs w:val="21"/>
        </w:rPr>
      </w:pPr>
    </w:p>
    <w:p w14:paraId="2244C847"/>
    <w:p w14:paraId="38E7FF7A"/>
    <w:p w14:paraId="3336E624"/>
    <w:p w14:paraId="5D720B09">
      <w:pPr>
        <w:pStyle w:val="30"/>
      </w:pPr>
    </w:p>
    <w:p w14:paraId="60725C26"/>
    <w:p w14:paraId="73851FBB">
      <w:pPr>
        <w:pStyle w:val="30"/>
      </w:pPr>
    </w:p>
    <w:p w14:paraId="2EBA0868">
      <w:pPr>
        <w:pStyle w:val="2"/>
        <w:jc w:val="center"/>
        <w:rPr>
          <w:rFonts w:ascii="宋体" w:hAnsi="宋体" w:cs="宋体"/>
          <w:sz w:val="32"/>
          <w:szCs w:val="32"/>
        </w:rPr>
      </w:pPr>
      <w:bookmarkStart w:id="79" w:name="_Toc398107926"/>
      <w:r>
        <w:rPr>
          <w:rFonts w:hint="eastAsia" w:ascii="宋体" w:hAnsi="宋体" w:cs="宋体"/>
          <w:sz w:val="32"/>
          <w:szCs w:val="32"/>
        </w:rPr>
        <w:t>第五章   投标文件部分格式</w:t>
      </w:r>
      <w:bookmarkEnd w:id="79"/>
    </w:p>
    <w:p w14:paraId="570B8B9F">
      <w:pPr>
        <w:pStyle w:val="3"/>
        <w:rPr>
          <w:rFonts w:ascii="宋体" w:hAnsi="宋体" w:eastAsia="宋体" w:cs="宋体"/>
        </w:rPr>
      </w:pPr>
      <w:bookmarkStart w:id="80" w:name="_Toc398107927"/>
      <w:r>
        <w:rPr>
          <w:rFonts w:hint="eastAsia" w:ascii="宋体" w:hAnsi="宋体" w:eastAsia="宋体" w:cs="宋体"/>
        </w:rPr>
        <w:t>1. 投标文件封面、目录</w:t>
      </w:r>
      <w:bookmarkEnd w:id="80"/>
    </w:p>
    <w:p w14:paraId="46064621"/>
    <w:p w14:paraId="7349ABFA">
      <w:pPr>
        <w:pStyle w:val="4"/>
        <w:rPr>
          <w:rFonts w:ascii="宋体" w:hAnsi="宋体" w:eastAsia="宋体" w:cs="宋体"/>
        </w:rPr>
      </w:pPr>
      <w:bookmarkStart w:id="81" w:name="_Toc398107928"/>
      <w:r>
        <w:rPr>
          <w:rFonts w:hint="eastAsia" w:ascii="宋体" w:hAnsi="宋体" w:eastAsia="宋体" w:cs="宋体"/>
        </w:rPr>
        <w:t>1.1 投标文件封面</w:t>
      </w:r>
      <w:bookmarkEnd w:id="81"/>
    </w:p>
    <w:p w14:paraId="3464DB6D">
      <w:pPr>
        <w:jc w:val="center"/>
        <w:rPr>
          <w:rFonts w:ascii="宋体" w:hAnsi="宋体" w:cs="宋体"/>
          <w:szCs w:val="21"/>
          <w:u w:val="single"/>
        </w:rPr>
      </w:pPr>
    </w:p>
    <w:p w14:paraId="353DE6E3">
      <w:pPr>
        <w:jc w:val="center"/>
        <w:rPr>
          <w:rFonts w:ascii="宋体" w:hAnsi="宋体" w:cs="宋体"/>
          <w:szCs w:val="21"/>
          <w:u w:val="single"/>
        </w:rPr>
      </w:pPr>
    </w:p>
    <w:p w14:paraId="5EEBF549">
      <w:pPr>
        <w:jc w:val="center"/>
        <w:rPr>
          <w:rFonts w:ascii="宋体" w:hAnsi="宋体" w:cs="宋体"/>
          <w:sz w:val="32"/>
          <w:szCs w:val="32"/>
        </w:rPr>
      </w:pPr>
      <w:r>
        <w:rPr>
          <w:rFonts w:hint="eastAsia" w:ascii="宋体" w:hAnsi="宋体" w:cs="宋体"/>
          <w:sz w:val="32"/>
          <w:szCs w:val="32"/>
        </w:rPr>
        <w:t>（项目名称及标段）监理招标</w:t>
      </w:r>
    </w:p>
    <w:p w14:paraId="0CB41BC2">
      <w:pPr>
        <w:rPr>
          <w:rFonts w:ascii="宋体" w:hAnsi="宋体" w:cs="宋体"/>
          <w:sz w:val="32"/>
          <w:szCs w:val="32"/>
        </w:rPr>
      </w:pPr>
    </w:p>
    <w:p w14:paraId="09067E3B">
      <w:pPr>
        <w:rPr>
          <w:rFonts w:ascii="宋体" w:hAnsi="宋体" w:cs="宋体"/>
          <w:sz w:val="32"/>
          <w:szCs w:val="32"/>
        </w:rPr>
      </w:pPr>
    </w:p>
    <w:p w14:paraId="2D2103F5">
      <w:pPr>
        <w:jc w:val="center"/>
        <w:rPr>
          <w:rFonts w:ascii="宋体" w:hAnsi="宋体" w:cs="宋体"/>
          <w:sz w:val="48"/>
          <w:szCs w:val="48"/>
        </w:rPr>
      </w:pPr>
      <w:r>
        <w:rPr>
          <w:rFonts w:hint="eastAsia" w:ascii="宋体" w:hAnsi="宋体" w:cs="宋体"/>
          <w:sz w:val="48"/>
          <w:szCs w:val="48"/>
        </w:rPr>
        <w:t>投标文件</w:t>
      </w:r>
    </w:p>
    <w:p w14:paraId="56D95246">
      <w:pPr>
        <w:rPr>
          <w:rFonts w:ascii="宋体" w:hAnsi="宋体" w:cs="宋体"/>
          <w:sz w:val="32"/>
          <w:szCs w:val="32"/>
        </w:rPr>
      </w:pPr>
    </w:p>
    <w:p w14:paraId="4F4674F4">
      <w:pPr>
        <w:rPr>
          <w:rFonts w:ascii="宋体" w:hAnsi="宋体" w:cs="宋体"/>
          <w:szCs w:val="21"/>
        </w:rPr>
      </w:pPr>
    </w:p>
    <w:p w14:paraId="075FB76B">
      <w:pPr>
        <w:rPr>
          <w:rFonts w:ascii="宋体" w:hAnsi="宋体" w:cs="宋体"/>
          <w:szCs w:val="21"/>
        </w:rPr>
      </w:pPr>
    </w:p>
    <w:p w14:paraId="3726E7B6">
      <w:pPr>
        <w:rPr>
          <w:rFonts w:ascii="宋体" w:hAnsi="宋体" w:cs="宋体"/>
          <w:szCs w:val="21"/>
        </w:rPr>
      </w:pPr>
    </w:p>
    <w:p w14:paraId="4923621F">
      <w:pPr>
        <w:rPr>
          <w:rFonts w:ascii="宋体" w:hAnsi="宋体" w:cs="宋体"/>
          <w:szCs w:val="21"/>
        </w:rPr>
      </w:pPr>
    </w:p>
    <w:p w14:paraId="572A5489">
      <w:pPr>
        <w:rPr>
          <w:rFonts w:ascii="宋体" w:hAnsi="宋体" w:cs="宋体"/>
          <w:szCs w:val="21"/>
        </w:rPr>
      </w:pPr>
    </w:p>
    <w:p w14:paraId="01C7AB2C">
      <w:pPr>
        <w:rPr>
          <w:rFonts w:ascii="宋体" w:hAnsi="宋体" w:cs="宋体"/>
          <w:szCs w:val="21"/>
        </w:rPr>
      </w:pPr>
    </w:p>
    <w:p w14:paraId="4C051E72">
      <w:pPr>
        <w:rPr>
          <w:rFonts w:ascii="宋体" w:hAnsi="宋体" w:cs="宋体"/>
          <w:szCs w:val="21"/>
        </w:rPr>
      </w:pPr>
    </w:p>
    <w:p w14:paraId="4C450D23">
      <w:pPr>
        <w:rPr>
          <w:rFonts w:ascii="宋体" w:hAnsi="宋体" w:cs="宋体"/>
          <w:szCs w:val="21"/>
        </w:rPr>
      </w:pPr>
    </w:p>
    <w:p w14:paraId="2A0FC460">
      <w:pPr>
        <w:rPr>
          <w:rFonts w:ascii="宋体" w:hAnsi="宋体" w:cs="宋体"/>
          <w:szCs w:val="21"/>
        </w:rPr>
      </w:pPr>
    </w:p>
    <w:p w14:paraId="06359B00">
      <w:pPr>
        <w:rPr>
          <w:rFonts w:ascii="宋体" w:hAnsi="宋体" w:cs="宋体"/>
          <w:szCs w:val="21"/>
        </w:rPr>
      </w:pPr>
    </w:p>
    <w:p w14:paraId="58EC0CF9">
      <w:pPr>
        <w:rPr>
          <w:rFonts w:ascii="宋体" w:hAnsi="宋体" w:cs="宋体"/>
          <w:szCs w:val="21"/>
        </w:rPr>
      </w:pPr>
    </w:p>
    <w:p w14:paraId="659C5286">
      <w:pPr>
        <w:rPr>
          <w:rFonts w:ascii="宋体" w:hAnsi="宋体" w:cs="宋体"/>
          <w:szCs w:val="21"/>
        </w:rPr>
      </w:pPr>
    </w:p>
    <w:p w14:paraId="3605C908">
      <w:pPr>
        <w:rPr>
          <w:rFonts w:ascii="宋体" w:hAnsi="宋体" w:cs="宋体"/>
          <w:szCs w:val="21"/>
        </w:rPr>
      </w:pPr>
    </w:p>
    <w:p w14:paraId="5A82C2A5">
      <w:pPr>
        <w:jc w:val="center"/>
        <w:rPr>
          <w:rFonts w:ascii="宋体" w:hAnsi="宋体" w:cs="宋体"/>
          <w:sz w:val="30"/>
          <w:szCs w:val="30"/>
        </w:rPr>
      </w:pPr>
      <w:r>
        <w:rPr>
          <w:rFonts w:hint="eastAsia" w:ascii="宋体" w:hAnsi="宋体" w:cs="宋体"/>
          <w:sz w:val="30"/>
          <w:szCs w:val="30"/>
        </w:rPr>
        <w:t>投标人：（盖单位章）</w:t>
      </w:r>
    </w:p>
    <w:p w14:paraId="1521A173">
      <w:pPr>
        <w:jc w:val="center"/>
        <w:rPr>
          <w:rFonts w:ascii="宋体" w:hAnsi="宋体" w:cs="宋体"/>
          <w:sz w:val="30"/>
          <w:szCs w:val="30"/>
        </w:rPr>
      </w:pPr>
      <w:r>
        <w:rPr>
          <w:rFonts w:hint="eastAsia" w:ascii="宋体" w:hAnsi="宋体" w:cs="宋体"/>
          <w:sz w:val="30"/>
          <w:szCs w:val="30"/>
        </w:rPr>
        <w:t>法定代表人或其委托代理人：（签字）</w:t>
      </w:r>
    </w:p>
    <w:p w14:paraId="7A63ADAC">
      <w:pPr>
        <w:ind w:firstLine="3750" w:firstLineChars="1250"/>
        <w:rPr>
          <w:rFonts w:ascii="宋体" w:hAnsi="宋体" w:cs="宋体"/>
          <w:sz w:val="30"/>
          <w:szCs w:val="30"/>
        </w:rPr>
      </w:pPr>
      <w:r>
        <w:rPr>
          <w:rFonts w:hint="eastAsia" w:ascii="宋体" w:hAnsi="宋体" w:cs="宋体"/>
          <w:sz w:val="30"/>
          <w:szCs w:val="30"/>
        </w:rPr>
        <w:t>年　月　日</w:t>
      </w:r>
    </w:p>
    <w:p w14:paraId="468C177A">
      <w:pPr>
        <w:widowControl/>
        <w:spacing w:line="600" w:lineRule="exact"/>
        <w:ind w:firstLine="2415" w:firstLineChars="1150"/>
        <w:jc w:val="left"/>
        <w:rPr>
          <w:rFonts w:ascii="宋体" w:hAnsi="宋体" w:cs="宋体"/>
          <w:szCs w:val="21"/>
          <w:u w:val="single"/>
        </w:rPr>
      </w:pPr>
      <w:r>
        <w:rPr>
          <w:rFonts w:hint="eastAsia" w:ascii="宋体" w:hAnsi="宋体" w:cs="宋体"/>
        </w:rPr>
        <w:br w:type="page"/>
      </w:r>
    </w:p>
    <w:p w14:paraId="1908FECA">
      <w:pPr>
        <w:spacing w:line="440" w:lineRule="exact"/>
        <w:ind w:firstLine="630" w:firstLineChars="196"/>
        <w:jc w:val="center"/>
        <w:rPr>
          <w:rFonts w:ascii="宋体" w:hAnsi="宋体" w:cs="宋体"/>
          <w:b/>
          <w:bCs/>
          <w:sz w:val="32"/>
          <w:szCs w:val="32"/>
        </w:rPr>
      </w:pPr>
      <w:r>
        <w:rPr>
          <w:rFonts w:hint="eastAsia" w:ascii="宋体" w:hAnsi="宋体" w:cs="宋体"/>
          <w:b/>
          <w:bCs/>
          <w:sz w:val="32"/>
          <w:szCs w:val="32"/>
        </w:rPr>
        <w:t>一、 投 标 函</w:t>
      </w:r>
    </w:p>
    <w:p w14:paraId="3FA8D0E8">
      <w:pPr>
        <w:spacing w:line="440" w:lineRule="exact"/>
        <w:ind w:firstLine="472" w:firstLineChars="196"/>
        <w:jc w:val="center"/>
        <w:rPr>
          <w:rFonts w:ascii="宋体" w:hAnsi="宋体" w:cs="宋体"/>
          <w:b/>
          <w:bCs/>
          <w:sz w:val="24"/>
        </w:rPr>
      </w:pPr>
    </w:p>
    <w:p w14:paraId="518E0A0B">
      <w:pPr>
        <w:spacing w:line="500" w:lineRule="exact"/>
        <w:rPr>
          <w:rFonts w:ascii="宋体" w:hAnsi="宋体"/>
          <w:szCs w:val="21"/>
          <w:u w:val="single"/>
        </w:rPr>
      </w:pPr>
      <w:r>
        <w:rPr>
          <w:rFonts w:hint="eastAsia" w:ascii="宋体" w:hAnsi="宋体"/>
          <w:b/>
          <w:bCs/>
          <w:szCs w:val="21"/>
          <w:u w:val="single"/>
          <w:lang w:val="en-US" w:eastAsia="zh-CN"/>
        </w:rPr>
        <w:t>致：南通浩宏市政工程有限公司</w:t>
      </w:r>
    </w:p>
    <w:p w14:paraId="416AC37B">
      <w:pPr>
        <w:spacing w:line="500" w:lineRule="exact"/>
        <w:ind w:firstLine="420" w:firstLineChars="200"/>
        <w:rPr>
          <w:rFonts w:hint="eastAsia" w:ascii="宋体" w:hAnsi="宋体" w:eastAsia="宋体" w:cs="Times New Roman"/>
          <w:szCs w:val="21"/>
        </w:rPr>
      </w:pPr>
      <w:r>
        <w:rPr>
          <w:rFonts w:hint="eastAsia" w:ascii="宋体" w:hAnsi="宋体" w:eastAsia="宋体" w:cs="Times New Roman"/>
          <w:szCs w:val="21"/>
        </w:rPr>
        <w:t>1、根据已收到的监理招标文件，经考察现场和研究上述工程监理招标文件，我方愿以财政概算建安费×</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rPr>
        <w:t>%的</w:t>
      </w:r>
      <w:r>
        <w:rPr>
          <w:rFonts w:hint="eastAsia" w:ascii="宋体" w:hAnsi="宋体" w:eastAsia="宋体" w:cs="Times New Roman"/>
          <w:szCs w:val="21"/>
          <w:lang w:val="en-US" w:eastAsia="zh-CN"/>
        </w:rPr>
        <w:t>投标费率</w:t>
      </w:r>
      <w:r>
        <w:rPr>
          <w:rFonts w:hint="eastAsia" w:ascii="宋体" w:hAnsi="宋体" w:eastAsia="宋体" w:cs="Times New Roman"/>
          <w:szCs w:val="21"/>
        </w:rPr>
        <w:t>计取监理费并承担本工程的监理。</w:t>
      </w:r>
    </w:p>
    <w:p w14:paraId="62BCA7CC">
      <w:pPr>
        <w:spacing w:line="500" w:lineRule="exact"/>
        <w:ind w:firstLine="420" w:firstLineChars="200"/>
        <w:rPr>
          <w:rFonts w:hint="eastAsia" w:ascii="宋体" w:hAnsi="宋体" w:eastAsia="宋体" w:cs="Times New Roman"/>
          <w:szCs w:val="21"/>
        </w:rPr>
      </w:pPr>
      <w:r>
        <w:rPr>
          <w:rFonts w:hint="eastAsia" w:ascii="宋体" w:hAnsi="宋体" w:eastAsia="宋体" w:cs="Times New Roman"/>
          <w:szCs w:val="21"/>
        </w:rPr>
        <w:t>2、我单位金额为人民币</w:t>
      </w:r>
      <w:r>
        <w:rPr>
          <w:rFonts w:hint="eastAsia" w:ascii="宋体" w:hAnsi="宋体" w:eastAsia="宋体" w:cs="Times New Roman"/>
          <w:szCs w:val="21"/>
          <w:u w:val="single"/>
          <w:lang w:val="en-US" w:eastAsia="zh-CN"/>
        </w:rPr>
        <w:t xml:space="preserve"> 2000 </w:t>
      </w:r>
      <w:r>
        <w:rPr>
          <w:rFonts w:hint="eastAsia" w:ascii="宋体" w:hAnsi="宋体" w:eastAsia="宋体" w:cs="Times New Roman"/>
          <w:szCs w:val="21"/>
        </w:rPr>
        <w:t>元的投标保证金已按招标文件要求提交。</w:t>
      </w:r>
    </w:p>
    <w:p w14:paraId="2A769569">
      <w:pPr>
        <w:spacing w:line="500" w:lineRule="exact"/>
        <w:ind w:firstLine="420" w:firstLineChars="200"/>
        <w:rPr>
          <w:rFonts w:ascii="宋体" w:hAnsi="宋体"/>
          <w:szCs w:val="21"/>
        </w:rPr>
      </w:pPr>
      <w:r>
        <w:rPr>
          <w:rFonts w:hint="eastAsia" w:ascii="宋体" w:hAnsi="宋体"/>
          <w:szCs w:val="21"/>
        </w:rPr>
        <w:t>3、一旦我方中标，我方保证按建设单位要求的质量标准完成监理任务，并按招标文件要求提交履约担保。</w:t>
      </w:r>
    </w:p>
    <w:p w14:paraId="6A0BF6E0">
      <w:pPr>
        <w:pStyle w:val="6"/>
        <w:spacing w:line="500" w:lineRule="exact"/>
        <w:rPr>
          <w:rFonts w:ascii="宋体" w:hAnsi="宋体"/>
          <w:szCs w:val="21"/>
        </w:rPr>
      </w:pPr>
      <w:r>
        <w:rPr>
          <w:rFonts w:hint="eastAsia" w:ascii="宋体" w:hAnsi="宋体"/>
          <w:szCs w:val="21"/>
        </w:rPr>
        <w:t>4、如果我方中标，我方保证做到：绝不违法分包、转包，不更换监理机构组成人员，并严格按照招标文件的要求履行监理任务。项目总监：</w:t>
      </w:r>
      <w:r>
        <w:rPr>
          <w:rFonts w:hint="eastAsia" w:ascii="宋体" w:hAnsi="宋体"/>
          <w:szCs w:val="21"/>
          <w:u w:val="single"/>
        </w:rPr>
        <w:t>　　</w:t>
      </w:r>
      <w:r>
        <w:rPr>
          <w:rFonts w:hint="eastAsia" w:ascii="宋体" w:hAnsi="宋体"/>
          <w:szCs w:val="21"/>
        </w:rPr>
        <w:t>。</w:t>
      </w:r>
    </w:p>
    <w:p w14:paraId="67DFF2DC">
      <w:pPr>
        <w:spacing w:line="500" w:lineRule="exact"/>
        <w:ind w:firstLine="420" w:firstLineChars="200"/>
        <w:rPr>
          <w:rFonts w:ascii="宋体" w:hAnsi="宋体"/>
          <w:szCs w:val="21"/>
        </w:rPr>
      </w:pPr>
      <w:r>
        <w:rPr>
          <w:rFonts w:hint="eastAsia" w:ascii="宋体" w:hAnsi="宋体"/>
          <w:szCs w:val="21"/>
        </w:rPr>
        <w:t>5、除非另外达成协议并生效，你方的中标通知书和本投标文件将构成约束我们双方的合同。</w:t>
      </w:r>
    </w:p>
    <w:p w14:paraId="0005CE11">
      <w:pPr>
        <w:spacing w:line="500" w:lineRule="exact"/>
        <w:ind w:firstLine="420" w:firstLineChars="200"/>
        <w:rPr>
          <w:rFonts w:ascii="宋体" w:hAnsi="宋体"/>
          <w:szCs w:val="21"/>
        </w:rPr>
      </w:pPr>
    </w:p>
    <w:p w14:paraId="25521474">
      <w:pPr>
        <w:spacing w:line="500" w:lineRule="exact"/>
        <w:ind w:firstLine="420" w:firstLineChars="200"/>
        <w:rPr>
          <w:rFonts w:ascii="宋体" w:hAnsi="宋体"/>
          <w:szCs w:val="21"/>
        </w:rPr>
      </w:pPr>
    </w:p>
    <w:p w14:paraId="784056DA">
      <w:pPr>
        <w:spacing w:line="440" w:lineRule="exact"/>
        <w:ind w:firstLine="420" w:firstLineChars="200"/>
        <w:rPr>
          <w:rFonts w:ascii="宋体" w:hAnsi="宋体"/>
          <w:szCs w:val="21"/>
        </w:rPr>
      </w:pPr>
      <w:r>
        <w:rPr>
          <w:rFonts w:hint="eastAsia" w:ascii="宋体" w:hAnsi="宋体"/>
          <w:szCs w:val="21"/>
        </w:rPr>
        <w:t>投标单位：（盖章）</w:t>
      </w:r>
    </w:p>
    <w:p w14:paraId="32522F06">
      <w:pPr>
        <w:spacing w:line="440" w:lineRule="exact"/>
        <w:ind w:firstLine="420" w:firstLineChars="200"/>
        <w:rPr>
          <w:rFonts w:ascii="宋体" w:hAnsi="宋体"/>
          <w:szCs w:val="21"/>
        </w:rPr>
      </w:pPr>
      <w:r>
        <w:rPr>
          <w:rFonts w:hint="eastAsia" w:ascii="宋体" w:hAnsi="宋体"/>
          <w:szCs w:val="21"/>
        </w:rPr>
        <w:t>单位地址：</w:t>
      </w:r>
    </w:p>
    <w:p w14:paraId="4F5530AF">
      <w:pPr>
        <w:spacing w:line="440" w:lineRule="exact"/>
        <w:ind w:firstLine="420" w:firstLineChars="200"/>
        <w:rPr>
          <w:rFonts w:ascii="宋体" w:hAnsi="宋体"/>
          <w:szCs w:val="21"/>
        </w:rPr>
      </w:pPr>
      <w:r>
        <w:rPr>
          <w:rFonts w:hint="eastAsia" w:ascii="宋体" w:hAnsi="宋体"/>
          <w:szCs w:val="21"/>
        </w:rPr>
        <w:t>法定代表人：（签字或盖章）</w:t>
      </w:r>
    </w:p>
    <w:p w14:paraId="6AD8CCD1">
      <w:pPr>
        <w:spacing w:line="440" w:lineRule="exact"/>
        <w:ind w:firstLine="420" w:firstLineChars="200"/>
        <w:rPr>
          <w:rFonts w:ascii="宋体" w:hAnsi="宋体"/>
          <w:szCs w:val="21"/>
        </w:rPr>
      </w:pPr>
      <w:r>
        <w:rPr>
          <w:rFonts w:hint="eastAsia" w:ascii="宋体" w:hAnsi="宋体"/>
          <w:szCs w:val="21"/>
        </w:rPr>
        <w:t>邮政编码：</w:t>
      </w:r>
    </w:p>
    <w:p w14:paraId="23DD7BC0">
      <w:pPr>
        <w:spacing w:line="440" w:lineRule="exact"/>
        <w:ind w:firstLine="420" w:firstLineChars="200"/>
        <w:rPr>
          <w:rFonts w:ascii="宋体" w:hAnsi="宋体"/>
          <w:szCs w:val="21"/>
        </w:rPr>
      </w:pPr>
      <w:r>
        <w:rPr>
          <w:rFonts w:hint="eastAsia" w:ascii="宋体" w:hAnsi="宋体"/>
          <w:szCs w:val="21"/>
        </w:rPr>
        <w:t>电话：</w:t>
      </w:r>
    </w:p>
    <w:p w14:paraId="22598C49">
      <w:pPr>
        <w:spacing w:line="440" w:lineRule="exact"/>
        <w:ind w:firstLine="420" w:firstLineChars="200"/>
        <w:rPr>
          <w:rFonts w:ascii="宋体" w:hAnsi="宋体"/>
          <w:szCs w:val="21"/>
        </w:rPr>
      </w:pPr>
      <w:r>
        <w:rPr>
          <w:rFonts w:hint="eastAsia" w:ascii="宋体" w:hAnsi="宋体"/>
          <w:szCs w:val="21"/>
        </w:rPr>
        <w:t>传真：</w:t>
      </w:r>
    </w:p>
    <w:p w14:paraId="4F24638A">
      <w:pPr>
        <w:spacing w:line="440" w:lineRule="exact"/>
        <w:ind w:firstLine="420" w:firstLineChars="200"/>
        <w:rPr>
          <w:rFonts w:ascii="宋体" w:hAnsi="宋体"/>
          <w:szCs w:val="21"/>
        </w:rPr>
      </w:pPr>
      <w:r>
        <w:rPr>
          <w:rFonts w:hint="eastAsia" w:ascii="宋体" w:hAnsi="宋体"/>
          <w:szCs w:val="21"/>
        </w:rPr>
        <w:t>开户银行名称：</w:t>
      </w:r>
    </w:p>
    <w:p w14:paraId="4FE8D0CF">
      <w:pPr>
        <w:spacing w:line="440" w:lineRule="exact"/>
        <w:ind w:firstLine="420" w:firstLineChars="200"/>
        <w:rPr>
          <w:rFonts w:ascii="宋体" w:hAnsi="宋体"/>
          <w:szCs w:val="21"/>
        </w:rPr>
      </w:pPr>
      <w:r>
        <w:rPr>
          <w:rFonts w:hint="eastAsia" w:ascii="宋体" w:hAnsi="宋体"/>
          <w:szCs w:val="21"/>
        </w:rPr>
        <w:t>银行帐号：</w:t>
      </w:r>
    </w:p>
    <w:p w14:paraId="475F1331">
      <w:pPr>
        <w:tabs>
          <w:tab w:val="left" w:pos="2940"/>
        </w:tabs>
        <w:spacing w:line="440" w:lineRule="exact"/>
        <w:ind w:firstLine="420" w:firstLineChars="200"/>
        <w:rPr>
          <w:rFonts w:ascii="宋体" w:hAnsi="宋体"/>
          <w:szCs w:val="21"/>
        </w:rPr>
      </w:pPr>
      <w:r>
        <w:rPr>
          <w:rFonts w:hint="eastAsia" w:ascii="宋体" w:hAnsi="宋体"/>
          <w:szCs w:val="21"/>
        </w:rPr>
        <w:t>开户行地址：</w:t>
      </w:r>
      <w:r>
        <w:rPr>
          <w:rFonts w:ascii="宋体" w:hAnsi="宋体"/>
          <w:szCs w:val="21"/>
        </w:rPr>
        <w:tab/>
      </w:r>
    </w:p>
    <w:p w14:paraId="6529BE09">
      <w:pPr>
        <w:spacing w:line="440" w:lineRule="exact"/>
        <w:ind w:firstLine="420" w:firstLineChars="200"/>
        <w:jc w:val="right"/>
        <w:rPr>
          <w:rFonts w:ascii="宋体" w:hAnsi="宋体"/>
          <w:szCs w:val="21"/>
        </w:rPr>
      </w:pPr>
      <w:r>
        <w:rPr>
          <w:rFonts w:hint="eastAsia" w:ascii="宋体" w:hAnsi="宋体"/>
          <w:szCs w:val="21"/>
        </w:rPr>
        <w:t>日    期：        年    月    日</w:t>
      </w:r>
    </w:p>
    <w:p w14:paraId="51FD1D64">
      <w:pPr>
        <w:pStyle w:val="6"/>
        <w:spacing w:line="440" w:lineRule="exact"/>
        <w:ind w:firstLine="482"/>
        <w:jc w:val="center"/>
        <w:rPr>
          <w:rFonts w:ascii="宋体" w:hAnsi="宋体" w:cs="宋体"/>
          <w:b/>
          <w:sz w:val="24"/>
        </w:rPr>
      </w:pPr>
    </w:p>
    <w:p w14:paraId="4FB91E43">
      <w:pPr>
        <w:pStyle w:val="6"/>
        <w:spacing w:line="440" w:lineRule="exact"/>
        <w:ind w:firstLine="482"/>
        <w:jc w:val="center"/>
        <w:rPr>
          <w:rFonts w:ascii="宋体" w:hAnsi="宋体" w:cs="宋体"/>
          <w:b/>
          <w:sz w:val="24"/>
        </w:rPr>
      </w:pPr>
    </w:p>
    <w:p w14:paraId="6DE617DF">
      <w:pPr>
        <w:pStyle w:val="3"/>
        <w:rPr>
          <w:rFonts w:ascii="宋体" w:hAnsi="宋体" w:cs="宋体"/>
          <w:kern w:val="0"/>
          <w:szCs w:val="21"/>
        </w:rPr>
      </w:pPr>
    </w:p>
    <w:p w14:paraId="7B9E9722">
      <w:pPr>
        <w:rPr>
          <w:rFonts w:ascii="宋体" w:hAnsi="宋体" w:cs="宋体"/>
          <w:kern w:val="0"/>
          <w:szCs w:val="21"/>
        </w:rPr>
      </w:pPr>
    </w:p>
    <w:p w14:paraId="779D1E0E">
      <w:pPr>
        <w:pStyle w:val="5"/>
        <w:rPr>
          <w:rFonts w:ascii="宋体" w:hAnsi="宋体" w:cs="宋体"/>
          <w:szCs w:val="21"/>
        </w:rPr>
      </w:pPr>
    </w:p>
    <w:p w14:paraId="6211B98E"/>
    <w:p w14:paraId="2CB205F1"/>
    <w:p w14:paraId="5922F041">
      <w:pPr>
        <w:jc w:val="center"/>
        <w:rPr>
          <w:rFonts w:ascii="宋体" w:hAnsi="宋体"/>
          <w:b/>
          <w:bCs/>
          <w:sz w:val="30"/>
          <w:szCs w:val="30"/>
        </w:rPr>
      </w:pPr>
      <w:bookmarkStart w:id="82" w:name="_Toc286661176"/>
      <w:r>
        <w:rPr>
          <w:rFonts w:hint="eastAsia" w:ascii="宋体" w:hAnsi="宋体"/>
          <w:b/>
          <w:bCs/>
          <w:sz w:val="30"/>
          <w:szCs w:val="30"/>
        </w:rPr>
        <w:t>二、 法定代表人身份证明书</w:t>
      </w:r>
      <w:bookmarkEnd w:id="82"/>
    </w:p>
    <w:p w14:paraId="74A2AF14">
      <w:pPr>
        <w:pStyle w:val="6"/>
        <w:spacing w:line="360" w:lineRule="auto"/>
        <w:rPr>
          <w:rFonts w:ascii="宋体" w:hAnsi="宋体"/>
        </w:rPr>
      </w:pPr>
      <w:r>
        <w:rPr>
          <w:rFonts w:hint="eastAsia" w:ascii="宋体" w:hAnsi="宋体"/>
        </w:rPr>
        <w:t>单位名称：</w:t>
      </w:r>
    </w:p>
    <w:p w14:paraId="12111042">
      <w:pPr>
        <w:pStyle w:val="6"/>
        <w:spacing w:line="360" w:lineRule="auto"/>
        <w:rPr>
          <w:rFonts w:ascii="宋体" w:hAnsi="宋体"/>
        </w:rPr>
      </w:pPr>
      <w:r>
        <w:rPr>
          <w:rFonts w:hint="eastAsia" w:ascii="宋体" w:hAnsi="宋体"/>
        </w:rPr>
        <w:t>单位性质：</w:t>
      </w:r>
    </w:p>
    <w:p w14:paraId="0B524ECC">
      <w:pPr>
        <w:pStyle w:val="6"/>
        <w:spacing w:line="360" w:lineRule="auto"/>
        <w:rPr>
          <w:rFonts w:ascii="宋体" w:hAnsi="宋体"/>
        </w:rPr>
      </w:pPr>
      <w:r>
        <w:rPr>
          <w:rFonts w:hint="eastAsia" w:ascii="宋体" w:hAnsi="宋体"/>
        </w:rPr>
        <w:t>地    址：</w:t>
      </w:r>
    </w:p>
    <w:p w14:paraId="640A31EE">
      <w:pPr>
        <w:pStyle w:val="6"/>
        <w:spacing w:line="360" w:lineRule="auto"/>
        <w:rPr>
          <w:rFonts w:ascii="宋体" w:hAnsi="宋体"/>
        </w:rPr>
      </w:pPr>
      <w:r>
        <w:rPr>
          <w:rFonts w:hint="eastAsia" w:ascii="宋体" w:hAnsi="宋体"/>
        </w:rPr>
        <w:t>成立时间：年月日</w:t>
      </w:r>
    </w:p>
    <w:p w14:paraId="61C0961E">
      <w:pPr>
        <w:pStyle w:val="6"/>
        <w:spacing w:line="360" w:lineRule="auto"/>
        <w:rPr>
          <w:rFonts w:ascii="宋体" w:hAnsi="宋体"/>
        </w:rPr>
      </w:pPr>
      <w:r>
        <w:rPr>
          <w:rFonts w:hint="eastAsia" w:ascii="宋体" w:hAnsi="宋体"/>
        </w:rPr>
        <w:t>经营期限：</w:t>
      </w:r>
    </w:p>
    <w:p w14:paraId="6EF26ADD">
      <w:pPr>
        <w:pStyle w:val="6"/>
        <w:spacing w:line="360" w:lineRule="auto"/>
        <w:rPr>
          <w:rFonts w:ascii="宋体" w:hAnsi="宋体"/>
        </w:rPr>
      </w:pPr>
      <w:r>
        <w:rPr>
          <w:rFonts w:hint="eastAsia" w:ascii="宋体" w:hAnsi="宋体"/>
        </w:rPr>
        <w:t>姓    名：性别：年龄：</w:t>
      </w:r>
    </w:p>
    <w:p w14:paraId="5A5B4E2B">
      <w:pPr>
        <w:pStyle w:val="6"/>
        <w:spacing w:line="360" w:lineRule="auto"/>
        <w:rPr>
          <w:rFonts w:ascii="宋体" w:hAnsi="宋体"/>
          <w:u w:val="single"/>
        </w:rPr>
      </w:pPr>
      <w:r>
        <w:rPr>
          <w:rFonts w:hint="eastAsia" w:ascii="宋体" w:hAnsi="宋体"/>
        </w:rPr>
        <w:t>职务：系：</w:t>
      </w:r>
      <w:r>
        <w:rPr>
          <w:rFonts w:hint="eastAsia" w:ascii="宋体" w:hAnsi="宋体"/>
          <w:u w:val="single"/>
        </w:rPr>
        <w:t xml:space="preserve">     (投标人单位名称)           </w:t>
      </w:r>
    </w:p>
    <w:p w14:paraId="14336B3F">
      <w:pPr>
        <w:pStyle w:val="6"/>
        <w:spacing w:line="360" w:lineRule="auto"/>
        <w:rPr>
          <w:rFonts w:ascii="宋体" w:hAnsi="宋体"/>
        </w:rPr>
      </w:pPr>
      <w:r>
        <w:rPr>
          <w:rFonts w:hint="eastAsia" w:ascii="宋体" w:hAnsi="宋体"/>
        </w:rPr>
        <w:t>的法定代表人。</w:t>
      </w:r>
    </w:p>
    <w:p w14:paraId="31301FB9">
      <w:pPr>
        <w:pStyle w:val="6"/>
        <w:spacing w:line="360" w:lineRule="auto"/>
        <w:rPr>
          <w:rFonts w:ascii="宋体" w:hAnsi="宋体"/>
        </w:rPr>
      </w:pPr>
      <w:r>
        <w:rPr>
          <w:rFonts w:hint="eastAsia" w:ascii="宋体" w:hAnsi="宋体"/>
        </w:rPr>
        <w:t>特此证明</w:t>
      </w:r>
    </w:p>
    <w:p w14:paraId="18B51739">
      <w:pPr>
        <w:pStyle w:val="6"/>
        <w:spacing w:line="360" w:lineRule="auto"/>
        <w:ind w:firstLine="3360" w:firstLineChars="1600"/>
        <w:rPr>
          <w:rFonts w:ascii="宋体" w:hAnsi="宋体"/>
        </w:rPr>
      </w:pPr>
      <w:r>
        <w:rPr>
          <w:rFonts w:hint="eastAsia" w:ascii="宋体" w:hAnsi="宋体"/>
        </w:rPr>
        <w:t>投标人(盖法人章)：</w:t>
      </w:r>
    </w:p>
    <w:p w14:paraId="7BCA576D">
      <w:pPr>
        <w:pStyle w:val="6"/>
        <w:spacing w:line="360" w:lineRule="auto"/>
        <w:ind w:firstLine="3360" w:firstLineChars="1600"/>
        <w:rPr>
          <w:rFonts w:ascii="宋体" w:hAnsi="宋体"/>
        </w:rPr>
      </w:pPr>
      <w:r>
        <w:rPr>
          <w:rFonts w:hint="eastAsia" w:ascii="宋体" w:hAnsi="宋体"/>
        </w:rPr>
        <w:t>日   期：年月日</w:t>
      </w:r>
    </w:p>
    <w:p w14:paraId="561A98F2">
      <w:pPr>
        <w:jc w:val="center"/>
        <w:rPr>
          <w:rFonts w:ascii="宋体" w:hAnsi="宋体"/>
          <w:b/>
          <w:bCs/>
          <w:sz w:val="24"/>
        </w:rPr>
      </w:pPr>
    </w:p>
    <w:p w14:paraId="344E471D">
      <w:pPr>
        <w:jc w:val="center"/>
        <w:rPr>
          <w:rFonts w:ascii="宋体" w:hAnsi="宋体"/>
          <w:b/>
          <w:bCs/>
          <w:sz w:val="24"/>
        </w:rPr>
      </w:pPr>
    </w:p>
    <w:p w14:paraId="22F68335">
      <w:pPr>
        <w:jc w:val="center"/>
        <w:rPr>
          <w:rFonts w:ascii="宋体" w:hAnsi="宋体"/>
          <w:b/>
          <w:bCs/>
          <w:sz w:val="30"/>
          <w:szCs w:val="30"/>
        </w:rPr>
      </w:pPr>
      <w:r>
        <w:rPr>
          <w:rFonts w:hint="eastAsia" w:ascii="宋体" w:hAnsi="宋体"/>
          <w:b/>
          <w:bCs/>
          <w:sz w:val="30"/>
          <w:szCs w:val="30"/>
        </w:rPr>
        <w:t>三 、授权委托书</w:t>
      </w:r>
    </w:p>
    <w:p w14:paraId="306D9001">
      <w:pPr>
        <w:spacing w:line="360" w:lineRule="auto"/>
        <w:ind w:firstLine="630" w:firstLineChars="300"/>
        <w:rPr>
          <w:rFonts w:ascii="宋体" w:hAnsi="宋体"/>
          <w:szCs w:val="21"/>
        </w:rPr>
      </w:pPr>
      <w:r>
        <w:rPr>
          <w:rFonts w:hint="eastAsia" w:ascii="宋体" w:hAnsi="宋体"/>
          <w:szCs w:val="21"/>
        </w:rPr>
        <w:t>本授权委托书声明：我（姓名）系</w:t>
      </w:r>
      <w:r>
        <w:rPr>
          <w:rFonts w:ascii="宋体" w:hAnsi="宋体"/>
          <w:szCs w:val="21"/>
          <w:u w:val="single"/>
        </w:rPr>
        <w:t>（</w:t>
      </w:r>
      <w:r>
        <w:rPr>
          <w:rFonts w:hint="eastAsia" w:ascii="宋体" w:hAnsi="宋体"/>
          <w:szCs w:val="21"/>
          <w:u w:val="single"/>
        </w:rPr>
        <w:t>投标单位名称</w:t>
      </w:r>
      <w:r>
        <w:rPr>
          <w:rFonts w:ascii="宋体" w:hAnsi="宋体"/>
          <w:szCs w:val="21"/>
          <w:u w:val="single"/>
        </w:rPr>
        <w:t>）</w:t>
      </w:r>
      <w:r>
        <w:rPr>
          <w:rFonts w:hint="eastAsia" w:ascii="宋体" w:hAnsi="宋体"/>
          <w:szCs w:val="21"/>
        </w:rPr>
        <w:t>的法定代表人，现授权委托</w:t>
      </w:r>
      <w:r>
        <w:rPr>
          <w:rFonts w:hint="eastAsia" w:ascii="宋体" w:hAnsi="宋体"/>
          <w:szCs w:val="21"/>
          <w:u w:val="single"/>
        </w:rPr>
        <w:t>（姓名）</w:t>
      </w:r>
      <w:r>
        <w:rPr>
          <w:rFonts w:hint="eastAsia" w:ascii="宋体" w:hAnsi="宋体"/>
          <w:szCs w:val="21"/>
        </w:rPr>
        <w:t>为我单位的合法代理人，以本公司的名义参加</w:t>
      </w:r>
      <w:r>
        <w:rPr>
          <w:rFonts w:hint="eastAsia" w:ascii="宋体" w:hAnsi="宋体"/>
          <w:szCs w:val="21"/>
          <w:u w:val="single"/>
        </w:rPr>
        <w:t>（招标单位）</w:t>
      </w:r>
      <w:r>
        <w:rPr>
          <w:rFonts w:hint="eastAsia" w:ascii="宋体" w:hAnsi="宋体"/>
          <w:szCs w:val="21"/>
        </w:rPr>
        <w:t>的工程的投标。代理人所签署的一切文件和处理与之有关的一切事务，我均予承认。</w:t>
      </w:r>
    </w:p>
    <w:p w14:paraId="3984DA94">
      <w:pPr>
        <w:spacing w:line="360" w:lineRule="auto"/>
        <w:ind w:firstLine="420" w:firstLineChars="200"/>
        <w:rPr>
          <w:rFonts w:ascii="宋体" w:hAnsi="宋体"/>
          <w:szCs w:val="21"/>
        </w:rPr>
      </w:pPr>
      <w:r>
        <w:rPr>
          <w:rFonts w:hint="eastAsia" w:ascii="宋体" w:hAnsi="宋体"/>
          <w:szCs w:val="21"/>
        </w:rPr>
        <w:t>代理人无转委托权，特此委托。</w:t>
      </w:r>
    </w:p>
    <w:p w14:paraId="5AB01548">
      <w:pPr>
        <w:spacing w:line="360" w:lineRule="auto"/>
        <w:ind w:firstLine="420" w:firstLineChars="200"/>
        <w:rPr>
          <w:rFonts w:ascii="宋体" w:hAnsi="宋体"/>
          <w:szCs w:val="21"/>
        </w:rPr>
      </w:pPr>
      <w:r>
        <w:rPr>
          <w:rFonts w:hint="eastAsia" w:ascii="宋体" w:hAnsi="宋体"/>
          <w:szCs w:val="21"/>
        </w:rPr>
        <w:t>代理人：</w:t>
      </w:r>
      <w:r>
        <w:rPr>
          <w:rFonts w:hint="eastAsia" w:ascii="宋体" w:hAnsi="宋体"/>
          <w:szCs w:val="21"/>
          <w:lang w:val="en-US" w:eastAsia="zh-CN"/>
        </w:rPr>
        <w:t xml:space="preserve">                </w:t>
      </w:r>
      <w:r>
        <w:rPr>
          <w:rFonts w:hint="eastAsia" w:ascii="宋体" w:hAnsi="宋体"/>
          <w:szCs w:val="21"/>
        </w:rPr>
        <w:t xml:space="preserve">性别： </w:t>
      </w:r>
      <w:r>
        <w:rPr>
          <w:rFonts w:hint="eastAsia" w:ascii="宋体" w:hAnsi="宋体"/>
          <w:szCs w:val="21"/>
          <w:lang w:val="en-US" w:eastAsia="zh-CN"/>
        </w:rPr>
        <w:t xml:space="preserve">            </w:t>
      </w:r>
      <w:r>
        <w:rPr>
          <w:rFonts w:hint="eastAsia" w:ascii="宋体" w:hAnsi="宋体"/>
          <w:szCs w:val="21"/>
        </w:rPr>
        <w:t>年龄</w:t>
      </w:r>
      <w:r>
        <w:rPr>
          <w:rFonts w:hint="eastAsia" w:ascii="宋体" w:hAnsi="宋体"/>
          <w:szCs w:val="21"/>
          <w:u w:val="none"/>
        </w:rPr>
        <w:t xml:space="preserve">：     </w:t>
      </w:r>
    </w:p>
    <w:p w14:paraId="16F58DE5">
      <w:pPr>
        <w:spacing w:line="360" w:lineRule="auto"/>
        <w:ind w:firstLine="420" w:firstLineChars="200"/>
        <w:rPr>
          <w:rFonts w:ascii="宋体" w:hAnsi="宋体"/>
          <w:szCs w:val="21"/>
        </w:rPr>
      </w:pPr>
      <w:r>
        <w:rPr>
          <w:rFonts w:hint="eastAsia" w:ascii="宋体" w:hAnsi="宋体"/>
          <w:szCs w:val="21"/>
        </w:rPr>
        <w:t>身份证号码</w:t>
      </w:r>
      <w:r>
        <w:rPr>
          <w:rFonts w:hint="eastAsia" w:ascii="宋体" w:hAnsi="宋体"/>
          <w:szCs w:val="21"/>
          <w:u w:val="none"/>
        </w:rPr>
        <w:t xml:space="preserve">：            </w:t>
      </w:r>
      <w:r>
        <w:rPr>
          <w:rFonts w:hint="eastAsia" w:ascii="宋体" w:hAnsi="宋体"/>
          <w:szCs w:val="21"/>
        </w:rPr>
        <w:t>部门：</w:t>
      </w:r>
      <w:r>
        <w:rPr>
          <w:rFonts w:hint="eastAsia" w:ascii="宋体" w:hAnsi="宋体"/>
          <w:szCs w:val="21"/>
          <w:lang w:val="en-US" w:eastAsia="zh-CN"/>
        </w:rPr>
        <w:t xml:space="preserve">             </w:t>
      </w:r>
      <w:r>
        <w:rPr>
          <w:rFonts w:hint="eastAsia" w:ascii="宋体" w:hAnsi="宋体"/>
          <w:szCs w:val="21"/>
        </w:rPr>
        <w:t>职务：</w:t>
      </w:r>
    </w:p>
    <w:p w14:paraId="52EFD504">
      <w:pPr>
        <w:spacing w:line="360" w:lineRule="auto"/>
        <w:rPr>
          <w:rFonts w:ascii="宋体" w:hAnsi="宋体"/>
          <w:szCs w:val="21"/>
        </w:rPr>
      </w:pPr>
    </w:p>
    <w:p w14:paraId="1270585F">
      <w:pPr>
        <w:spacing w:line="360" w:lineRule="auto"/>
        <w:ind w:firstLine="2625" w:firstLineChars="1250"/>
        <w:rPr>
          <w:rFonts w:ascii="宋体" w:hAnsi="宋体"/>
          <w:szCs w:val="21"/>
          <w:u w:val="single"/>
        </w:rPr>
      </w:pPr>
      <w:r>
        <w:rPr>
          <w:rFonts w:hint="eastAsia" w:ascii="宋体" w:hAnsi="宋体"/>
          <w:szCs w:val="21"/>
        </w:rPr>
        <w:t>投标单位（盖章）：</w:t>
      </w:r>
      <w:bookmarkStart w:id="83" w:name="_GoBack"/>
      <w:bookmarkEnd w:id="83"/>
    </w:p>
    <w:p w14:paraId="0D8C598F">
      <w:pPr>
        <w:spacing w:line="360" w:lineRule="auto"/>
        <w:ind w:firstLine="2625" w:firstLineChars="1250"/>
        <w:rPr>
          <w:rFonts w:ascii="宋体" w:hAnsi="宋体"/>
          <w:szCs w:val="21"/>
          <w:u w:val="none"/>
        </w:rPr>
      </w:pPr>
      <w:r>
        <w:rPr>
          <w:rFonts w:hint="eastAsia" w:ascii="宋体" w:hAnsi="宋体"/>
          <w:szCs w:val="21"/>
        </w:rPr>
        <w:t>法定代表人（签字或盖章）</w:t>
      </w:r>
      <w:r>
        <w:rPr>
          <w:rFonts w:hint="eastAsia" w:ascii="宋体" w:hAnsi="宋体"/>
          <w:szCs w:val="21"/>
          <w:u w:val="none"/>
        </w:rPr>
        <w:t xml:space="preserve">：              </w:t>
      </w:r>
    </w:p>
    <w:p w14:paraId="485BA9AC">
      <w:pPr>
        <w:spacing w:line="360" w:lineRule="auto"/>
        <w:ind w:firstLine="2625" w:firstLineChars="1250"/>
        <w:rPr>
          <w:rFonts w:ascii="宋体" w:hAnsi="宋体"/>
          <w:szCs w:val="21"/>
          <w:u w:val="single"/>
        </w:rPr>
      </w:pPr>
      <w:r>
        <w:rPr>
          <w:rFonts w:hint="eastAsia" w:ascii="宋体" w:hAnsi="宋体"/>
          <w:szCs w:val="21"/>
        </w:rPr>
        <w:t>代理人联系电话：</w:t>
      </w:r>
    </w:p>
    <w:p w14:paraId="54A9D781">
      <w:pPr>
        <w:spacing w:line="360" w:lineRule="auto"/>
        <w:ind w:firstLine="3990" w:firstLineChars="1900"/>
        <w:rPr>
          <w:rFonts w:ascii="宋体" w:hAnsi="宋体"/>
          <w:szCs w:val="21"/>
        </w:rPr>
      </w:pPr>
      <w:r>
        <w:rPr>
          <w:rFonts w:hint="eastAsia" w:ascii="宋体" w:hAnsi="宋体"/>
          <w:szCs w:val="21"/>
        </w:rPr>
        <w:t>日  期：     年   月    日</w:t>
      </w:r>
    </w:p>
    <w:p w14:paraId="43BF429C">
      <w:pPr>
        <w:pStyle w:val="5"/>
        <w:rPr>
          <w:rFonts w:ascii="宋体" w:hAnsi="宋体"/>
          <w:szCs w:val="21"/>
        </w:rPr>
      </w:pPr>
    </w:p>
    <w:p w14:paraId="666F6A49">
      <w:pPr>
        <w:rPr>
          <w:rFonts w:ascii="宋体" w:hAnsi="宋体"/>
          <w:szCs w:val="21"/>
        </w:rPr>
      </w:pPr>
    </w:p>
    <w:p w14:paraId="1DA0F565">
      <w:pPr>
        <w:pStyle w:val="5"/>
      </w:pPr>
    </w:p>
    <w:p w14:paraId="61F97B29">
      <w:pPr>
        <w:jc w:val="center"/>
        <w:rPr>
          <w:rFonts w:ascii="宋体" w:hAnsi="宋体"/>
          <w:kern w:val="0"/>
          <w:sz w:val="24"/>
        </w:rPr>
      </w:pPr>
      <w:r>
        <w:rPr>
          <w:rFonts w:hint="eastAsia" w:ascii="宋体" w:hAnsi="宋体"/>
          <w:b/>
          <w:sz w:val="30"/>
          <w:szCs w:val="30"/>
        </w:rPr>
        <w:t xml:space="preserve">四   </w:t>
      </w:r>
      <w:r>
        <w:rPr>
          <w:rFonts w:hint="eastAsia" w:ascii="宋体" w:hAnsi="宋体"/>
          <w:b/>
          <w:bCs/>
          <w:sz w:val="30"/>
          <w:szCs w:val="30"/>
        </w:rPr>
        <w:t>拟投入现场的设备、检测仪器一览表</w:t>
      </w:r>
    </w:p>
    <w:p w14:paraId="2ABC705C">
      <w:pPr>
        <w:widowControl/>
        <w:spacing w:line="135" w:lineRule="exact"/>
        <w:jc w:val="left"/>
        <w:rPr>
          <w:rFonts w:ascii="宋体" w:hAnsi="宋体"/>
          <w:kern w:val="0"/>
          <w:sz w:val="24"/>
        </w:rPr>
      </w:pPr>
    </w:p>
    <w:tbl>
      <w:tblPr>
        <w:tblStyle w:val="14"/>
        <w:tblW w:w="0" w:type="auto"/>
        <w:tblInd w:w="-424" w:type="dxa"/>
        <w:tblLayout w:type="fixed"/>
        <w:tblCellMar>
          <w:top w:w="0" w:type="dxa"/>
          <w:left w:w="0" w:type="dxa"/>
          <w:bottom w:w="0" w:type="dxa"/>
          <w:right w:w="0" w:type="dxa"/>
        </w:tblCellMar>
      </w:tblPr>
      <w:tblGrid>
        <w:gridCol w:w="720"/>
        <w:gridCol w:w="1240"/>
        <w:gridCol w:w="1260"/>
        <w:gridCol w:w="840"/>
        <w:gridCol w:w="680"/>
        <w:gridCol w:w="880"/>
        <w:gridCol w:w="1620"/>
        <w:gridCol w:w="980"/>
        <w:gridCol w:w="980"/>
      </w:tblGrid>
      <w:tr w14:paraId="0475A677">
        <w:tblPrEx>
          <w:tblCellMar>
            <w:top w:w="0" w:type="dxa"/>
            <w:left w:w="0" w:type="dxa"/>
            <w:bottom w:w="0" w:type="dxa"/>
            <w:right w:w="0" w:type="dxa"/>
          </w:tblCellMar>
        </w:tblPrEx>
        <w:trPr>
          <w:trHeight w:val="376" w:hRule="atLeast"/>
        </w:trPr>
        <w:tc>
          <w:tcPr>
            <w:tcW w:w="720" w:type="dxa"/>
            <w:vMerge w:val="restart"/>
            <w:tcBorders>
              <w:top w:val="single" w:color="auto" w:sz="8" w:space="0"/>
              <w:left w:val="single" w:color="auto" w:sz="8" w:space="0"/>
              <w:right w:val="single" w:color="auto" w:sz="8" w:space="0"/>
            </w:tcBorders>
            <w:vAlign w:val="bottom"/>
          </w:tcPr>
          <w:p w14:paraId="27E8C2D4">
            <w:pPr>
              <w:widowControl/>
              <w:spacing w:line="239" w:lineRule="exact"/>
              <w:ind w:left="140"/>
              <w:jc w:val="left"/>
              <w:rPr>
                <w:rFonts w:ascii="宋体" w:hAnsi="宋体" w:cs="宋体"/>
                <w:kern w:val="0"/>
                <w:szCs w:val="21"/>
              </w:rPr>
            </w:pPr>
            <w:r>
              <w:rPr>
                <w:rFonts w:hint="eastAsia" w:ascii="宋体" w:hAnsi="宋体" w:cs="宋体"/>
                <w:kern w:val="0"/>
                <w:szCs w:val="21"/>
              </w:rPr>
              <w:t>序号</w:t>
            </w:r>
          </w:p>
        </w:tc>
        <w:tc>
          <w:tcPr>
            <w:tcW w:w="1240" w:type="dxa"/>
            <w:tcBorders>
              <w:top w:val="single" w:color="auto" w:sz="8" w:space="0"/>
              <w:right w:val="single" w:color="auto" w:sz="8" w:space="0"/>
            </w:tcBorders>
            <w:vAlign w:val="bottom"/>
          </w:tcPr>
          <w:p w14:paraId="55425935">
            <w:pPr>
              <w:widowControl/>
              <w:spacing w:line="239" w:lineRule="exact"/>
              <w:jc w:val="center"/>
              <w:rPr>
                <w:rFonts w:ascii="宋体" w:hAnsi="宋体" w:cs="宋体"/>
                <w:kern w:val="0"/>
                <w:szCs w:val="21"/>
              </w:rPr>
            </w:pPr>
            <w:r>
              <w:rPr>
                <w:rFonts w:hint="eastAsia" w:ascii="宋体" w:hAnsi="宋体" w:cs="宋体"/>
                <w:kern w:val="0"/>
                <w:szCs w:val="21"/>
              </w:rPr>
              <w:t>设备或仪</w:t>
            </w:r>
          </w:p>
        </w:tc>
        <w:tc>
          <w:tcPr>
            <w:tcW w:w="1260" w:type="dxa"/>
            <w:vMerge w:val="restart"/>
            <w:tcBorders>
              <w:top w:val="single" w:color="auto" w:sz="8" w:space="0"/>
              <w:right w:val="single" w:color="auto" w:sz="8" w:space="0"/>
            </w:tcBorders>
            <w:vAlign w:val="bottom"/>
          </w:tcPr>
          <w:p w14:paraId="65F84DB8">
            <w:pPr>
              <w:widowControl/>
              <w:spacing w:line="239" w:lineRule="exact"/>
              <w:ind w:left="200"/>
              <w:jc w:val="left"/>
              <w:rPr>
                <w:rFonts w:ascii="宋体" w:hAnsi="宋体" w:cs="宋体"/>
                <w:kern w:val="0"/>
                <w:szCs w:val="21"/>
              </w:rPr>
            </w:pPr>
            <w:r>
              <w:rPr>
                <w:rFonts w:hint="eastAsia" w:ascii="宋体" w:hAnsi="宋体" w:cs="宋体"/>
                <w:kern w:val="0"/>
                <w:szCs w:val="21"/>
              </w:rPr>
              <w:t>型号规格</w:t>
            </w:r>
          </w:p>
        </w:tc>
        <w:tc>
          <w:tcPr>
            <w:tcW w:w="840" w:type="dxa"/>
            <w:vMerge w:val="restart"/>
            <w:tcBorders>
              <w:top w:val="single" w:color="auto" w:sz="8" w:space="0"/>
              <w:right w:val="single" w:color="auto" w:sz="8" w:space="0"/>
            </w:tcBorders>
            <w:vAlign w:val="bottom"/>
          </w:tcPr>
          <w:p w14:paraId="65844823">
            <w:pPr>
              <w:widowControl/>
              <w:spacing w:line="239" w:lineRule="exact"/>
              <w:ind w:left="180"/>
              <w:jc w:val="left"/>
              <w:rPr>
                <w:rFonts w:ascii="宋体" w:hAnsi="宋体" w:cs="宋体"/>
                <w:kern w:val="0"/>
                <w:szCs w:val="21"/>
              </w:rPr>
            </w:pPr>
            <w:r>
              <w:rPr>
                <w:rFonts w:hint="eastAsia" w:ascii="宋体" w:hAnsi="宋体" w:cs="宋体"/>
                <w:kern w:val="0"/>
                <w:szCs w:val="21"/>
              </w:rPr>
              <w:t>数量</w:t>
            </w:r>
          </w:p>
        </w:tc>
        <w:tc>
          <w:tcPr>
            <w:tcW w:w="680" w:type="dxa"/>
            <w:tcBorders>
              <w:top w:val="single" w:color="auto" w:sz="8" w:space="0"/>
              <w:right w:val="single" w:color="auto" w:sz="8" w:space="0"/>
            </w:tcBorders>
            <w:vAlign w:val="bottom"/>
          </w:tcPr>
          <w:p w14:paraId="14035429">
            <w:pPr>
              <w:widowControl/>
              <w:spacing w:line="239" w:lineRule="exact"/>
              <w:ind w:left="120"/>
              <w:jc w:val="left"/>
              <w:rPr>
                <w:rFonts w:ascii="宋体" w:hAnsi="宋体" w:cs="宋体"/>
                <w:kern w:val="0"/>
                <w:szCs w:val="21"/>
              </w:rPr>
            </w:pPr>
            <w:r>
              <w:rPr>
                <w:rFonts w:hint="eastAsia" w:ascii="宋体" w:hAnsi="宋体" w:cs="宋体"/>
                <w:kern w:val="0"/>
                <w:szCs w:val="21"/>
              </w:rPr>
              <w:t>国别</w:t>
            </w:r>
          </w:p>
        </w:tc>
        <w:tc>
          <w:tcPr>
            <w:tcW w:w="880" w:type="dxa"/>
            <w:tcBorders>
              <w:top w:val="single" w:color="auto" w:sz="8" w:space="0"/>
              <w:right w:val="single" w:color="auto" w:sz="8" w:space="0"/>
            </w:tcBorders>
            <w:vAlign w:val="bottom"/>
          </w:tcPr>
          <w:p w14:paraId="3A18C40E">
            <w:pPr>
              <w:widowControl/>
              <w:spacing w:line="239" w:lineRule="exact"/>
              <w:jc w:val="center"/>
              <w:rPr>
                <w:rFonts w:ascii="宋体" w:hAnsi="宋体" w:cs="宋体"/>
                <w:kern w:val="0"/>
                <w:szCs w:val="21"/>
              </w:rPr>
            </w:pPr>
            <w:r>
              <w:rPr>
                <w:rFonts w:hint="eastAsia" w:ascii="宋体" w:hAnsi="宋体" w:cs="宋体"/>
                <w:kern w:val="0"/>
                <w:szCs w:val="21"/>
              </w:rPr>
              <w:t>制造年</w:t>
            </w:r>
          </w:p>
        </w:tc>
        <w:tc>
          <w:tcPr>
            <w:tcW w:w="1620" w:type="dxa"/>
            <w:vMerge w:val="restart"/>
            <w:tcBorders>
              <w:top w:val="single" w:color="auto" w:sz="8" w:space="0"/>
              <w:right w:val="single" w:color="auto" w:sz="8" w:space="0"/>
            </w:tcBorders>
            <w:vAlign w:val="bottom"/>
          </w:tcPr>
          <w:p w14:paraId="70E42AFA">
            <w:pPr>
              <w:widowControl/>
              <w:spacing w:line="239" w:lineRule="exact"/>
              <w:ind w:left="160"/>
              <w:jc w:val="left"/>
              <w:rPr>
                <w:rFonts w:ascii="宋体" w:hAnsi="宋体" w:cs="宋体"/>
                <w:kern w:val="0"/>
                <w:szCs w:val="21"/>
              </w:rPr>
            </w:pPr>
            <w:r>
              <w:rPr>
                <w:rFonts w:hint="eastAsia" w:ascii="宋体" w:hAnsi="宋体" w:cs="宋体"/>
                <w:kern w:val="0"/>
                <w:szCs w:val="21"/>
              </w:rPr>
              <w:t>己使用台时数</w:t>
            </w:r>
          </w:p>
        </w:tc>
        <w:tc>
          <w:tcPr>
            <w:tcW w:w="980" w:type="dxa"/>
            <w:vMerge w:val="restart"/>
            <w:tcBorders>
              <w:top w:val="single" w:color="auto" w:sz="8" w:space="0"/>
              <w:right w:val="single" w:color="auto" w:sz="8" w:space="0"/>
            </w:tcBorders>
            <w:vAlign w:val="bottom"/>
          </w:tcPr>
          <w:p w14:paraId="2B9887D0">
            <w:pPr>
              <w:widowControl/>
              <w:spacing w:line="239" w:lineRule="exact"/>
              <w:ind w:left="260"/>
              <w:jc w:val="left"/>
              <w:rPr>
                <w:rFonts w:ascii="宋体" w:hAnsi="宋体" w:cs="宋体"/>
                <w:kern w:val="0"/>
                <w:szCs w:val="21"/>
              </w:rPr>
            </w:pPr>
            <w:r>
              <w:rPr>
                <w:rFonts w:hint="eastAsia" w:ascii="宋体" w:hAnsi="宋体" w:cs="宋体"/>
                <w:kern w:val="0"/>
                <w:szCs w:val="21"/>
              </w:rPr>
              <w:t>用途</w:t>
            </w:r>
          </w:p>
        </w:tc>
        <w:tc>
          <w:tcPr>
            <w:tcW w:w="980" w:type="dxa"/>
            <w:vMerge w:val="restart"/>
            <w:tcBorders>
              <w:top w:val="single" w:color="auto" w:sz="8" w:space="0"/>
              <w:right w:val="single" w:color="auto" w:sz="8" w:space="0"/>
            </w:tcBorders>
            <w:vAlign w:val="bottom"/>
          </w:tcPr>
          <w:p w14:paraId="330CB5F5">
            <w:pPr>
              <w:widowControl/>
              <w:spacing w:line="239" w:lineRule="exact"/>
              <w:ind w:left="260"/>
              <w:jc w:val="left"/>
              <w:rPr>
                <w:rFonts w:ascii="宋体" w:hAnsi="宋体" w:cs="宋体"/>
                <w:kern w:val="0"/>
                <w:szCs w:val="21"/>
              </w:rPr>
            </w:pPr>
            <w:r>
              <w:rPr>
                <w:rFonts w:hint="eastAsia" w:ascii="宋体" w:hAnsi="宋体" w:cs="宋体"/>
                <w:kern w:val="0"/>
                <w:szCs w:val="21"/>
              </w:rPr>
              <w:t>备注</w:t>
            </w:r>
          </w:p>
        </w:tc>
      </w:tr>
      <w:tr w14:paraId="3548F24C">
        <w:tblPrEx>
          <w:tblCellMar>
            <w:top w:w="0" w:type="dxa"/>
            <w:left w:w="0" w:type="dxa"/>
            <w:bottom w:w="0" w:type="dxa"/>
            <w:right w:w="0" w:type="dxa"/>
          </w:tblCellMar>
        </w:tblPrEx>
        <w:trPr>
          <w:trHeight w:val="312" w:hRule="atLeast"/>
        </w:trPr>
        <w:tc>
          <w:tcPr>
            <w:tcW w:w="720" w:type="dxa"/>
            <w:vMerge w:val="continue"/>
            <w:tcBorders>
              <w:top w:val="single" w:color="auto" w:sz="8" w:space="0"/>
              <w:left w:val="single" w:color="auto" w:sz="8" w:space="0"/>
              <w:right w:val="single" w:color="auto" w:sz="8" w:space="0"/>
            </w:tcBorders>
            <w:vAlign w:val="center"/>
          </w:tcPr>
          <w:p w14:paraId="226F0878">
            <w:pPr>
              <w:widowControl/>
              <w:jc w:val="left"/>
              <w:rPr>
                <w:rFonts w:ascii="宋体" w:hAnsi="宋体" w:cs="宋体"/>
                <w:kern w:val="0"/>
                <w:szCs w:val="21"/>
              </w:rPr>
            </w:pPr>
          </w:p>
        </w:tc>
        <w:tc>
          <w:tcPr>
            <w:tcW w:w="1240" w:type="dxa"/>
            <w:vMerge w:val="restart"/>
            <w:tcBorders>
              <w:right w:val="single" w:color="auto" w:sz="8" w:space="0"/>
            </w:tcBorders>
            <w:vAlign w:val="bottom"/>
          </w:tcPr>
          <w:p w14:paraId="1C58F9C4">
            <w:pPr>
              <w:widowControl/>
              <w:spacing w:line="156" w:lineRule="atLeast"/>
              <w:jc w:val="center"/>
              <w:rPr>
                <w:rFonts w:ascii="宋体" w:hAnsi="宋体" w:cs="宋体"/>
                <w:kern w:val="0"/>
                <w:szCs w:val="21"/>
              </w:rPr>
            </w:pPr>
            <w:r>
              <w:rPr>
                <w:rFonts w:hint="eastAsia" w:ascii="宋体" w:hAnsi="宋体" w:cs="宋体"/>
                <w:kern w:val="0"/>
                <w:szCs w:val="21"/>
              </w:rPr>
              <w:t>器名称</w:t>
            </w:r>
          </w:p>
        </w:tc>
        <w:tc>
          <w:tcPr>
            <w:tcW w:w="1260" w:type="dxa"/>
            <w:vMerge w:val="continue"/>
            <w:tcBorders>
              <w:top w:val="single" w:color="auto" w:sz="8" w:space="0"/>
              <w:right w:val="single" w:color="auto" w:sz="8" w:space="0"/>
            </w:tcBorders>
            <w:vAlign w:val="center"/>
          </w:tcPr>
          <w:p w14:paraId="157D6FD7">
            <w:pPr>
              <w:widowControl/>
              <w:jc w:val="left"/>
              <w:rPr>
                <w:rFonts w:ascii="宋体" w:hAnsi="宋体" w:cs="宋体"/>
                <w:kern w:val="0"/>
                <w:szCs w:val="21"/>
              </w:rPr>
            </w:pPr>
          </w:p>
        </w:tc>
        <w:tc>
          <w:tcPr>
            <w:tcW w:w="840" w:type="dxa"/>
            <w:vMerge w:val="continue"/>
            <w:tcBorders>
              <w:top w:val="single" w:color="auto" w:sz="8" w:space="0"/>
              <w:right w:val="single" w:color="auto" w:sz="8" w:space="0"/>
            </w:tcBorders>
            <w:vAlign w:val="center"/>
          </w:tcPr>
          <w:p w14:paraId="2C8EB715">
            <w:pPr>
              <w:widowControl/>
              <w:jc w:val="left"/>
              <w:rPr>
                <w:rFonts w:ascii="宋体" w:hAnsi="宋体" w:cs="宋体"/>
                <w:kern w:val="0"/>
                <w:szCs w:val="21"/>
              </w:rPr>
            </w:pPr>
          </w:p>
        </w:tc>
        <w:tc>
          <w:tcPr>
            <w:tcW w:w="680" w:type="dxa"/>
            <w:vMerge w:val="restart"/>
            <w:tcBorders>
              <w:right w:val="single" w:color="auto" w:sz="8" w:space="0"/>
            </w:tcBorders>
            <w:vAlign w:val="bottom"/>
          </w:tcPr>
          <w:p w14:paraId="7EF5624F">
            <w:pPr>
              <w:widowControl/>
              <w:spacing w:line="156" w:lineRule="atLeast"/>
              <w:ind w:left="120"/>
              <w:jc w:val="left"/>
              <w:rPr>
                <w:rFonts w:ascii="宋体" w:hAnsi="宋体" w:cs="宋体"/>
                <w:kern w:val="0"/>
                <w:szCs w:val="21"/>
              </w:rPr>
            </w:pPr>
            <w:r>
              <w:rPr>
                <w:rFonts w:hint="eastAsia" w:ascii="宋体" w:hAnsi="宋体" w:cs="宋体"/>
                <w:kern w:val="0"/>
                <w:szCs w:val="21"/>
              </w:rPr>
              <w:t>产地</w:t>
            </w:r>
          </w:p>
        </w:tc>
        <w:tc>
          <w:tcPr>
            <w:tcW w:w="880" w:type="dxa"/>
            <w:vMerge w:val="restart"/>
            <w:tcBorders>
              <w:right w:val="single" w:color="auto" w:sz="8" w:space="0"/>
            </w:tcBorders>
            <w:vAlign w:val="bottom"/>
          </w:tcPr>
          <w:p w14:paraId="7321ED7B">
            <w:pPr>
              <w:widowControl/>
              <w:spacing w:line="156" w:lineRule="atLeast"/>
              <w:jc w:val="center"/>
              <w:rPr>
                <w:rFonts w:ascii="宋体" w:hAnsi="宋体" w:cs="宋体"/>
                <w:kern w:val="0"/>
                <w:szCs w:val="21"/>
              </w:rPr>
            </w:pPr>
            <w:r>
              <w:rPr>
                <w:rFonts w:hint="eastAsia" w:ascii="宋体" w:hAnsi="宋体" w:cs="宋体"/>
                <w:kern w:val="0"/>
                <w:szCs w:val="21"/>
              </w:rPr>
              <w:t>份</w:t>
            </w:r>
          </w:p>
        </w:tc>
        <w:tc>
          <w:tcPr>
            <w:tcW w:w="1620" w:type="dxa"/>
            <w:vMerge w:val="continue"/>
            <w:tcBorders>
              <w:top w:val="single" w:color="auto" w:sz="8" w:space="0"/>
              <w:right w:val="single" w:color="auto" w:sz="8" w:space="0"/>
            </w:tcBorders>
            <w:vAlign w:val="center"/>
          </w:tcPr>
          <w:p w14:paraId="79ABD9B7">
            <w:pPr>
              <w:widowControl/>
              <w:jc w:val="left"/>
              <w:rPr>
                <w:rFonts w:ascii="宋体" w:hAnsi="宋体" w:cs="宋体"/>
                <w:kern w:val="0"/>
                <w:szCs w:val="21"/>
              </w:rPr>
            </w:pPr>
          </w:p>
        </w:tc>
        <w:tc>
          <w:tcPr>
            <w:tcW w:w="980" w:type="dxa"/>
            <w:vMerge w:val="continue"/>
            <w:tcBorders>
              <w:top w:val="single" w:color="auto" w:sz="8" w:space="0"/>
              <w:right w:val="single" w:color="auto" w:sz="8" w:space="0"/>
            </w:tcBorders>
            <w:vAlign w:val="center"/>
          </w:tcPr>
          <w:p w14:paraId="3187DF93">
            <w:pPr>
              <w:widowControl/>
              <w:jc w:val="left"/>
              <w:rPr>
                <w:rFonts w:ascii="宋体" w:hAnsi="宋体" w:cs="宋体"/>
                <w:kern w:val="0"/>
                <w:szCs w:val="21"/>
              </w:rPr>
            </w:pPr>
          </w:p>
        </w:tc>
        <w:tc>
          <w:tcPr>
            <w:tcW w:w="980" w:type="dxa"/>
            <w:vMerge w:val="continue"/>
            <w:tcBorders>
              <w:top w:val="single" w:color="auto" w:sz="8" w:space="0"/>
              <w:right w:val="single" w:color="auto" w:sz="8" w:space="0"/>
            </w:tcBorders>
            <w:vAlign w:val="center"/>
          </w:tcPr>
          <w:p w14:paraId="35540237">
            <w:pPr>
              <w:widowControl/>
              <w:jc w:val="left"/>
              <w:rPr>
                <w:rFonts w:ascii="宋体" w:hAnsi="宋体" w:cs="宋体"/>
                <w:kern w:val="0"/>
                <w:szCs w:val="21"/>
              </w:rPr>
            </w:pPr>
          </w:p>
        </w:tc>
      </w:tr>
      <w:tr w14:paraId="199B0AA3">
        <w:tblPrEx>
          <w:tblCellMar>
            <w:top w:w="0" w:type="dxa"/>
            <w:left w:w="0" w:type="dxa"/>
            <w:bottom w:w="0" w:type="dxa"/>
            <w:right w:w="0" w:type="dxa"/>
          </w:tblCellMar>
        </w:tblPrEx>
        <w:trPr>
          <w:trHeight w:val="156" w:hRule="atLeast"/>
        </w:trPr>
        <w:tc>
          <w:tcPr>
            <w:tcW w:w="720" w:type="dxa"/>
            <w:tcBorders>
              <w:left w:val="single" w:color="auto" w:sz="8" w:space="0"/>
              <w:right w:val="single" w:color="auto" w:sz="8" w:space="0"/>
            </w:tcBorders>
            <w:vAlign w:val="bottom"/>
          </w:tcPr>
          <w:p w14:paraId="47C8D118">
            <w:pPr>
              <w:widowControl/>
              <w:spacing w:line="240" w:lineRule="atLeast"/>
              <w:jc w:val="left"/>
              <w:rPr>
                <w:rFonts w:ascii="宋体" w:hAnsi="宋体"/>
                <w:kern w:val="0"/>
                <w:sz w:val="13"/>
                <w:szCs w:val="13"/>
              </w:rPr>
            </w:pPr>
          </w:p>
        </w:tc>
        <w:tc>
          <w:tcPr>
            <w:tcW w:w="1240" w:type="dxa"/>
            <w:vMerge w:val="continue"/>
            <w:tcBorders>
              <w:right w:val="single" w:color="auto" w:sz="8" w:space="0"/>
            </w:tcBorders>
            <w:vAlign w:val="center"/>
          </w:tcPr>
          <w:p w14:paraId="1A67D93A">
            <w:pPr>
              <w:widowControl/>
              <w:jc w:val="left"/>
              <w:rPr>
                <w:rFonts w:ascii="宋体" w:hAnsi="宋体" w:cs="宋体"/>
                <w:kern w:val="0"/>
                <w:szCs w:val="21"/>
              </w:rPr>
            </w:pPr>
          </w:p>
        </w:tc>
        <w:tc>
          <w:tcPr>
            <w:tcW w:w="1260" w:type="dxa"/>
            <w:tcBorders>
              <w:right w:val="single" w:color="auto" w:sz="8" w:space="0"/>
            </w:tcBorders>
            <w:vAlign w:val="bottom"/>
          </w:tcPr>
          <w:p w14:paraId="42C7F1F9">
            <w:pPr>
              <w:widowControl/>
              <w:spacing w:line="240" w:lineRule="atLeast"/>
              <w:jc w:val="left"/>
              <w:rPr>
                <w:rFonts w:ascii="宋体" w:hAnsi="宋体"/>
                <w:kern w:val="0"/>
                <w:sz w:val="13"/>
                <w:szCs w:val="13"/>
              </w:rPr>
            </w:pPr>
          </w:p>
        </w:tc>
        <w:tc>
          <w:tcPr>
            <w:tcW w:w="840" w:type="dxa"/>
            <w:tcBorders>
              <w:right w:val="single" w:color="auto" w:sz="8" w:space="0"/>
            </w:tcBorders>
            <w:vAlign w:val="bottom"/>
          </w:tcPr>
          <w:p w14:paraId="75AD6DB3">
            <w:pPr>
              <w:widowControl/>
              <w:spacing w:line="240" w:lineRule="atLeast"/>
              <w:jc w:val="left"/>
              <w:rPr>
                <w:rFonts w:ascii="宋体" w:hAnsi="宋体"/>
                <w:kern w:val="0"/>
                <w:sz w:val="13"/>
                <w:szCs w:val="13"/>
              </w:rPr>
            </w:pPr>
          </w:p>
        </w:tc>
        <w:tc>
          <w:tcPr>
            <w:tcW w:w="680" w:type="dxa"/>
            <w:vMerge w:val="continue"/>
            <w:tcBorders>
              <w:right w:val="single" w:color="auto" w:sz="8" w:space="0"/>
            </w:tcBorders>
            <w:vAlign w:val="center"/>
          </w:tcPr>
          <w:p w14:paraId="51032768">
            <w:pPr>
              <w:widowControl/>
              <w:jc w:val="left"/>
              <w:rPr>
                <w:rFonts w:ascii="宋体" w:hAnsi="宋体" w:cs="宋体"/>
                <w:kern w:val="0"/>
                <w:szCs w:val="21"/>
              </w:rPr>
            </w:pPr>
          </w:p>
        </w:tc>
        <w:tc>
          <w:tcPr>
            <w:tcW w:w="880" w:type="dxa"/>
            <w:vMerge w:val="continue"/>
            <w:tcBorders>
              <w:right w:val="single" w:color="auto" w:sz="8" w:space="0"/>
            </w:tcBorders>
            <w:vAlign w:val="center"/>
          </w:tcPr>
          <w:p w14:paraId="562CA3B3">
            <w:pPr>
              <w:widowControl/>
              <w:jc w:val="left"/>
              <w:rPr>
                <w:rFonts w:ascii="宋体" w:hAnsi="宋体" w:cs="宋体"/>
                <w:kern w:val="0"/>
                <w:szCs w:val="21"/>
              </w:rPr>
            </w:pPr>
          </w:p>
        </w:tc>
        <w:tc>
          <w:tcPr>
            <w:tcW w:w="1620" w:type="dxa"/>
            <w:tcBorders>
              <w:right w:val="single" w:color="auto" w:sz="8" w:space="0"/>
            </w:tcBorders>
            <w:vAlign w:val="bottom"/>
          </w:tcPr>
          <w:p w14:paraId="53192EA6">
            <w:pPr>
              <w:widowControl/>
              <w:spacing w:line="240" w:lineRule="atLeast"/>
              <w:jc w:val="left"/>
              <w:rPr>
                <w:rFonts w:ascii="宋体" w:hAnsi="宋体"/>
                <w:kern w:val="0"/>
                <w:sz w:val="13"/>
                <w:szCs w:val="13"/>
              </w:rPr>
            </w:pPr>
          </w:p>
        </w:tc>
        <w:tc>
          <w:tcPr>
            <w:tcW w:w="980" w:type="dxa"/>
            <w:tcBorders>
              <w:right w:val="single" w:color="auto" w:sz="8" w:space="0"/>
            </w:tcBorders>
            <w:vAlign w:val="bottom"/>
          </w:tcPr>
          <w:p w14:paraId="5C45F43A">
            <w:pPr>
              <w:widowControl/>
              <w:spacing w:line="240" w:lineRule="atLeast"/>
              <w:jc w:val="left"/>
              <w:rPr>
                <w:rFonts w:ascii="宋体" w:hAnsi="宋体"/>
                <w:kern w:val="0"/>
                <w:sz w:val="13"/>
                <w:szCs w:val="13"/>
              </w:rPr>
            </w:pPr>
          </w:p>
        </w:tc>
        <w:tc>
          <w:tcPr>
            <w:tcW w:w="980" w:type="dxa"/>
            <w:tcBorders>
              <w:right w:val="single" w:color="auto" w:sz="8" w:space="0"/>
            </w:tcBorders>
            <w:vAlign w:val="bottom"/>
          </w:tcPr>
          <w:p w14:paraId="73230C5E">
            <w:pPr>
              <w:widowControl/>
              <w:spacing w:line="240" w:lineRule="atLeast"/>
              <w:jc w:val="left"/>
              <w:rPr>
                <w:rFonts w:ascii="宋体" w:hAnsi="宋体"/>
                <w:kern w:val="0"/>
                <w:sz w:val="13"/>
                <w:szCs w:val="13"/>
              </w:rPr>
            </w:pPr>
          </w:p>
        </w:tc>
      </w:tr>
      <w:tr w14:paraId="110065D0">
        <w:tblPrEx>
          <w:tblCellMar>
            <w:top w:w="0" w:type="dxa"/>
            <w:left w:w="0" w:type="dxa"/>
            <w:bottom w:w="0" w:type="dxa"/>
            <w:right w:w="0" w:type="dxa"/>
          </w:tblCellMar>
        </w:tblPrEx>
        <w:trPr>
          <w:trHeight w:val="152" w:hRule="atLeast"/>
        </w:trPr>
        <w:tc>
          <w:tcPr>
            <w:tcW w:w="720" w:type="dxa"/>
            <w:tcBorders>
              <w:left w:val="single" w:color="auto" w:sz="8" w:space="0"/>
              <w:bottom w:val="single" w:color="auto" w:sz="8" w:space="0"/>
              <w:right w:val="single" w:color="auto" w:sz="8" w:space="0"/>
            </w:tcBorders>
            <w:vAlign w:val="bottom"/>
          </w:tcPr>
          <w:p w14:paraId="7EF4EFE7">
            <w:pPr>
              <w:widowControl/>
              <w:spacing w:line="240" w:lineRule="atLeast"/>
              <w:jc w:val="left"/>
              <w:rPr>
                <w:rFonts w:ascii="宋体" w:hAnsi="宋体"/>
                <w:kern w:val="0"/>
                <w:sz w:val="13"/>
                <w:szCs w:val="13"/>
              </w:rPr>
            </w:pPr>
          </w:p>
        </w:tc>
        <w:tc>
          <w:tcPr>
            <w:tcW w:w="1240" w:type="dxa"/>
            <w:tcBorders>
              <w:bottom w:val="single" w:color="auto" w:sz="8" w:space="0"/>
              <w:right w:val="single" w:color="auto" w:sz="8" w:space="0"/>
            </w:tcBorders>
            <w:vAlign w:val="bottom"/>
          </w:tcPr>
          <w:p w14:paraId="5395A469">
            <w:pPr>
              <w:widowControl/>
              <w:spacing w:line="240" w:lineRule="atLeast"/>
              <w:jc w:val="left"/>
              <w:rPr>
                <w:rFonts w:ascii="宋体" w:hAnsi="宋体"/>
                <w:kern w:val="0"/>
                <w:sz w:val="13"/>
                <w:szCs w:val="13"/>
              </w:rPr>
            </w:pPr>
          </w:p>
        </w:tc>
        <w:tc>
          <w:tcPr>
            <w:tcW w:w="1260" w:type="dxa"/>
            <w:tcBorders>
              <w:bottom w:val="single" w:color="auto" w:sz="8" w:space="0"/>
              <w:right w:val="single" w:color="auto" w:sz="8" w:space="0"/>
            </w:tcBorders>
            <w:vAlign w:val="bottom"/>
          </w:tcPr>
          <w:p w14:paraId="50909949">
            <w:pPr>
              <w:widowControl/>
              <w:spacing w:line="240" w:lineRule="atLeast"/>
              <w:jc w:val="left"/>
              <w:rPr>
                <w:rFonts w:ascii="宋体" w:hAnsi="宋体"/>
                <w:kern w:val="0"/>
                <w:sz w:val="13"/>
                <w:szCs w:val="13"/>
              </w:rPr>
            </w:pPr>
          </w:p>
        </w:tc>
        <w:tc>
          <w:tcPr>
            <w:tcW w:w="840" w:type="dxa"/>
            <w:tcBorders>
              <w:bottom w:val="single" w:color="auto" w:sz="8" w:space="0"/>
              <w:right w:val="single" w:color="auto" w:sz="8" w:space="0"/>
            </w:tcBorders>
            <w:vAlign w:val="bottom"/>
          </w:tcPr>
          <w:p w14:paraId="49264D33">
            <w:pPr>
              <w:widowControl/>
              <w:spacing w:line="240" w:lineRule="atLeast"/>
              <w:jc w:val="left"/>
              <w:rPr>
                <w:rFonts w:ascii="宋体" w:hAnsi="宋体"/>
                <w:kern w:val="0"/>
                <w:sz w:val="13"/>
                <w:szCs w:val="13"/>
              </w:rPr>
            </w:pPr>
          </w:p>
        </w:tc>
        <w:tc>
          <w:tcPr>
            <w:tcW w:w="680" w:type="dxa"/>
            <w:tcBorders>
              <w:bottom w:val="single" w:color="auto" w:sz="8" w:space="0"/>
              <w:right w:val="single" w:color="auto" w:sz="8" w:space="0"/>
            </w:tcBorders>
            <w:vAlign w:val="bottom"/>
          </w:tcPr>
          <w:p w14:paraId="4888EF92">
            <w:pPr>
              <w:widowControl/>
              <w:spacing w:line="240" w:lineRule="atLeast"/>
              <w:jc w:val="left"/>
              <w:rPr>
                <w:rFonts w:ascii="宋体" w:hAnsi="宋体"/>
                <w:kern w:val="0"/>
                <w:sz w:val="13"/>
                <w:szCs w:val="13"/>
              </w:rPr>
            </w:pPr>
          </w:p>
        </w:tc>
        <w:tc>
          <w:tcPr>
            <w:tcW w:w="880" w:type="dxa"/>
            <w:tcBorders>
              <w:bottom w:val="single" w:color="auto" w:sz="8" w:space="0"/>
              <w:right w:val="single" w:color="auto" w:sz="8" w:space="0"/>
            </w:tcBorders>
            <w:vAlign w:val="bottom"/>
          </w:tcPr>
          <w:p w14:paraId="4152574C">
            <w:pPr>
              <w:widowControl/>
              <w:spacing w:line="240" w:lineRule="atLeast"/>
              <w:jc w:val="left"/>
              <w:rPr>
                <w:rFonts w:ascii="宋体" w:hAnsi="宋体"/>
                <w:kern w:val="0"/>
                <w:sz w:val="13"/>
                <w:szCs w:val="13"/>
              </w:rPr>
            </w:pPr>
          </w:p>
        </w:tc>
        <w:tc>
          <w:tcPr>
            <w:tcW w:w="1620" w:type="dxa"/>
            <w:tcBorders>
              <w:bottom w:val="single" w:color="auto" w:sz="8" w:space="0"/>
              <w:right w:val="single" w:color="auto" w:sz="8" w:space="0"/>
            </w:tcBorders>
            <w:vAlign w:val="bottom"/>
          </w:tcPr>
          <w:p w14:paraId="036105CC">
            <w:pPr>
              <w:widowControl/>
              <w:spacing w:line="240" w:lineRule="atLeast"/>
              <w:jc w:val="left"/>
              <w:rPr>
                <w:rFonts w:ascii="宋体" w:hAnsi="宋体"/>
                <w:kern w:val="0"/>
                <w:sz w:val="13"/>
                <w:szCs w:val="13"/>
              </w:rPr>
            </w:pPr>
          </w:p>
        </w:tc>
        <w:tc>
          <w:tcPr>
            <w:tcW w:w="980" w:type="dxa"/>
            <w:tcBorders>
              <w:bottom w:val="single" w:color="auto" w:sz="8" w:space="0"/>
              <w:right w:val="single" w:color="auto" w:sz="8" w:space="0"/>
            </w:tcBorders>
            <w:vAlign w:val="bottom"/>
          </w:tcPr>
          <w:p w14:paraId="3F92EBC2">
            <w:pPr>
              <w:widowControl/>
              <w:spacing w:line="240" w:lineRule="atLeast"/>
              <w:jc w:val="left"/>
              <w:rPr>
                <w:rFonts w:ascii="宋体" w:hAnsi="宋体"/>
                <w:kern w:val="0"/>
                <w:sz w:val="13"/>
                <w:szCs w:val="13"/>
              </w:rPr>
            </w:pPr>
          </w:p>
        </w:tc>
        <w:tc>
          <w:tcPr>
            <w:tcW w:w="980" w:type="dxa"/>
            <w:tcBorders>
              <w:bottom w:val="single" w:color="auto" w:sz="8" w:space="0"/>
              <w:right w:val="single" w:color="auto" w:sz="8" w:space="0"/>
            </w:tcBorders>
            <w:vAlign w:val="bottom"/>
          </w:tcPr>
          <w:p w14:paraId="13177431">
            <w:pPr>
              <w:widowControl/>
              <w:spacing w:line="240" w:lineRule="atLeast"/>
              <w:jc w:val="left"/>
              <w:rPr>
                <w:rFonts w:ascii="宋体" w:hAnsi="宋体"/>
                <w:kern w:val="0"/>
                <w:sz w:val="13"/>
                <w:szCs w:val="13"/>
              </w:rPr>
            </w:pPr>
          </w:p>
        </w:tc>
      </w:tr>
      <w:tr w14:paraId="49FA9D7B">
        <w:tblPrEx>
          <w:tblCellMar>
            <w:top w:w="0" w:type="dxa"/>
            <w:left w:w="0" w:type="dxa"/>
            <w:bottom w:w="0" w:type="dxa"/>
            <w:right w:w="0" w:type="dxa"/>
          </w:tblCellMar>
        </w:tblPrEx>
        <w:trPr>
          <w:trHeight w:val="818" w:hRule="atLeast"/>
        </w:trPr>
        <w:tc>
          <w:tcPr>
            <w:tcW w:w="720" w:type="dxa"/>
            <w:tcBorders>
              <w:left w:val="single" w:color="auto" w:sz="8" w:space="0"/>
              <w:bottom w:val="single" w:color="auto" w:sz="8" w:space="0"/>
              <w:right w:val="single" w:color="auto" w:sz="8" w:space="0"/>
            </w:tcBorders>
            <w:vAlign w:val="bottom"/>
          </w:tcPr>
          <w:p w14:paraId="47436A5C">
            <w:pPr>
              <w:widowControl/>
              <w:spacing w:line="240" w:lineRule="atLeast"/>
              <w:jc w:val="left"/>
              <w:rPr>
                <w:rFonts w:ascii="宋体" w:hAnsi="宋体"/>
                <w:kern w:val="0"/>
                <w:sz w:val="24"/>
              </w:rPr>
            </w:pPr>
          </w:p>
        </w:tc>
        <w:tc>
          <w:tcPr>
            <w:tcW w:w="1240" w:type="dxa"/>
            <w:tcBorders>
              <w:bottom w:val="single" w:color="auto" w:sz="8" w:space="0"/>
              <w:right w:val="single" w:color="auto" w:sz="8" w:space="0"/>
            </w:tcBorders>
            <w:vAlign w:val="bottom"/>
          </w:tcPr>
          <w:p w14:paraId="48EE1C9B">
            <w:pPr>
              <w:widowControl/>
              <w:spacing w:line="240" w:lineRule="atLeast"/>
              <w:jc w:val="left"/>
              <w:rPr>
                <w:rFonts w:ascii="宋体" w:hAnsi="宋体"/>
                <w:kern w:val="0"/>
                <w:sz w:val="24"/>
              </w:rPr>
            </w:pPr>
          </w:p>
        </w:tc>
        <w:tc>
          <w:tcPr>
            <w:tcW w:w="1260" w:type="dxa"/>
            <w:tcBorders>
              <w:bottom w:val="single" w:color="auto" w:sz="8" w:space="0"/>
              <w:right w:val="single" w:color="auto" w:sz="8" w:space="0"/>
            </w:tcBorders>
            <w:vAlign w:val="bottom"/>
          </w:tcPr>
          <w:p w14:paraId="34CD6B1B">
            <w:pPr>
              <w:widowControl/>
              <w:spacing w:line="240" w:lineRule="atLeast"/>
              <w:jc w:val="left"/>
              <w:rPr>
                <w:rFonts w:ascii="宋体" w:hAnsi="宋体"/>
                <w:kern w:val="0"/>
                <w:sz w:val="24"/>
              </w:rPr>
            </w:pPr>
          </w:p>
        </w:tc>
        <w:tc>
          <w:tcPr>
            <w:tcW w:w="840" w:type="dxa"/>
            <w:tcBorders>
              <w:bottom w:val="single" w:color="auto" w:sz="8" w:space="0"/>
              <w:right w:val="single" w:color="auto" w:sz="8" w:space="0"/>
            </w:tcBorders>
            <w:vAlign w:val="bottom"/>
          </w:tcPr>
          <w:p w14:paraId="5F429823">
            <w:pPr>
              <w:widowControl/>
              <w:spacing w:line="240" w:lineRule="atLeast"/>
              <w:jc w:val="left"/>
              <w:rPr>
                <w:rFonts w:ascii="宋体" w:hAnsi="宋体"/>
                <w:kern w:val="0"/>
                <w:sz w:val="24"/>
              </w:rPr>
            </w:pPr>
          </w:p>
        </w:tc>
        <w:tc>
          <w:tcPr>
            <w:tcW w:w="680" w:type="dxa"/>
            <w:tcBorders>
              <w:bottom w:val="single" w:color="auto" w:sz="8" w:space="0"/>
              <w:right w:val="single" w:color="auto" w:sz="8" w:space="0"/>
            </w:tcBorders>
            <w:vAlign w:val="bottom"/>
          </w:tcPr>
          <w:p w14:paraId="4012787A">
            <w:pPr>
              <w:widowControl/>
              <w:spacing w:line="240" w:lineRule="atLeast"/>
              <w:jc w:val="left"/>
              <w:rPr>
                <w:rFonts w:ascii="宋体" w:hAnsi="宋体"/>
                <w:kern w:val="0"/>
                <w:sz w:val="24"/>
              </w:rPr>
            </w:pPr>
          </w:p>
        </w:tc>
        <w:tc>
          <w:tcPr>
            <w:tcW w:w="880" w:type="dxa"/>
            <w:tcBorders>
              <w:bottom w:val="single" w:color="auto" w:sz="8" w:space="0"/>
              <w:right w:val="single" w:color="auto" w:sz="8" w:space="0"/>
            </w:tcBorders>
            <w:vAlign w:val="bottom"/>
          </w:tcPr>
          <w:p w14:paraId="56EF84C1">
            <w:pPr>
              <w:widowControl/>
              <w:spacing w:line="240" w:lineRule="atLeast"/>
              <w:jc w:val="left"/>
              <w:rPr>
                <w:rFonts w:ascii="宋体" w:hAnsi="宋体"/>
                <w:kern w:val="0"/>
                <w:sz w:val="24"/>
              </w:rPr>
            </w:pPr>
          </w:p>
        </w:tc>
        <w:tc>
          <w:tcPr>
            <w:tcW w:w="1620" w:type="dxa"/>
            <w:tcBorders>
              <w:bottom w:val="single" w:color="auto" w:sz="8" w:space="0"/>
              <w:right w:val="single" w:color="auto" w:sz="8" w:space="0"/>
            </w:tcBorders>
            <w:vAlign w:val="bottom"/>
          </w:tcPr>
          <w:p w14:paraId="0B6DAA9C">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18C52641">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7D8515CA">
            <w:pPr>
              <w:widowControl/>
              <w:spacing w:line="240" w:lineRule="atLeast"/>
              <w:jc w:val="left"/>
              <w:rPr>
                <w:rFonts w:ascii="宋体" w:hAnsi="宋体"/>
                <w:kern w:val="0"/>
                <w:sz w:val="24"/>
              </w:rPr>
            </w:pPr>
          </w:p>
        </w:tc>
      </w:tr>
      <w:tr w14:paraId="2F0EC3CA">
        <w:tblPrEx>
          <w:tblCellMar>
            <w:top w:w="0" w:type="dxa"/>
            <w:left w:w="0" w:type="dxa"/>
            <w:bottom w:w="0" w:type="dxa"/>
            <w:right w:w="0" w:type="dxa"/>
          </w:tblCellMar>
        </w:tblPrEx>
        <w:trPr>
          <w:trHeight w:val="821" w:hRule="atLeast"/>
        </w:trPr>
        <w:tc>
          <w:tcPr>
            <w:tcW w:w="720" w:type="dxa"/>
            <w:tcBorders>
              <w:left w:val="single" w:color="auto" w:sz="8" w:space="0"/>
              <w:bottom w:val="single" w:color="auto" w:sz="8" w:space="0"/>
              <w:right w:val="single" w:color="auto" w:sz="8" w:space="0"/>
            </w:tcBorders>
            <w:vAlign w:val="bottom"/>
          </w:tcPr>
          <w:p w14:paraId="2F5E0841">
            <w:pPr>
              <w:widowControl/>
              <w:spacing w:line="240" w:lineRule="atLeast"/>
              <w:jc w:val="left"/>
              <w:rPr>
                <w:rFonts w:ascii="宋体" w:hAnsi="宋体"/>
                <w:kern w:val="0"/>
                <w:sz w:val="24"/>
              </w:rPr>
            </w:pPr>
          </w:p>
        </w:tc>
        <w:tc>
          <w:tcPr>
            <w:tcW w:w="1240" w:type="dxa"/>
            <w:tcBorders>
              <w:bottom w:val="single" w:color="auto" w:sz="8" w:space="0"/>
              <w:right w:val="single" w:color="auto" w:sz="8" w:space="0"/>
            </w:tcBorders>
            <w:vAlign w:val="bottom"/>
          </w:tcPr>
          <w:p w14:paraId="30CF8FEE">
            <w:pPr>
              <w:widowControl/>
              <w:spacing w:line="240" w:lineRule="atLeast"/>
              <w:jc w:val="left"/>
              <w:rPr>
                <w:rFonts w:ascii="宋体" w:hAnsi="宋体"/>
                <w:kern w:val="0"/>
                <w:sz w:val="24"/>
              </w:rPr>
            </w:pPr>
          </w:p>
        </w:tc>
        <w:tc>
          <w:tcPr>
            <w:tcW w:w="1260" w:type="dxa"/>
            <w:tcBorders>
              <w:bottom w:val="single" w:color="auto" w:sz="8" w:space="0"/>
              <w:right w:val="single" w:color="auto" w:sz="8" w:space="0"/>
            </w:tcBorders>
            <w:vAlign w:val="bottom"/>
          </w:tcPr>
          <w:p w14:paraId="360C9294">
            <w:pPr>
              <w:widowControl/>
              <w:spacing w:line="240" w:lineRule="atLeast"/>
              <w:jc w:val="left"/>
              <w:rPr>
                <w:rFonts w:ascii="宋体" w:hAnsi="宋体"/>
                <w:kern w:val="0"/>
                <w:sz w:val="24"/>
              </w:rPr>
            </w:pPr>
          </w:p>
        </w:tc>
        <w:tc>
          <w:tcPr>
            <w:tcW w:w="840" w:type="dxa"/>
            <w:tcBorders>
              <w:bottom w:val="single" w:color="auto" w:sz="8" w:space="0"/>
              <w:right w:val="single" w:color="auto" w:sz="8" w:space="0"/>
            </w:tcBorders>
            <w:vAlign w:val="bottom"/>
          </w:tcPr>
          <w:p w14:paraId="25ACAE9A">
            <w:pPr>
              <w:widowControl/>
              <w:spacing w:line="240" w:lineRule="atLeast"/>
              <w:jc w:val="left"/>
              <w:rPr>
                <w:rFonts w:ascii="宋体" w:hAnsi="宋体"/>
                <w:kern w:val="0"/>
                <w:sz w:val="24"/>
              </w:rPr>
            </w:pPr>
          </w:p>
        </w:tc>
        <w:tc>
          <w:tcPr>
            <w:tcW w:w="680" w:type="dxa"/>
            <w:tcBorders>
              <w:bottom w:val="single" w:color="auto" w:sz="8" w:space="0"/>
              <w:right w:val="single" w:color="auto" w:sz="8" w:space="0"/>
            </w:tcBorders>
            <w:vAlign w:val="bottom"/>
          </w:tcPr>
          <w:p w14:paraId="7A19786D">
            <w:pPr>
              <w:widowControl/>
              <w:spacing w:line="240" w:lineRule="atLeast"/>
              <w:jc w:val="left"/>
              <w:rPr>
                <w:rFonts w:ascii="宋体" w:hAnsi="宋体"/>
                <w:kern w:val="0"/>
                <w:sz w:val="24"/>
              </w:rPr>
            </w:pPr>
          </w:p>
        </w:tc>
        <w:tc>
          <w:tcPr>
            <w:tcW w:w="880" w:type="dxa"/>
            <w:tcBorders>
              <w:bottom w:val="single" w:color="auto" w:sz="8" w:space="0"/>
              <w:right w:val="single" w:color="auto" w:sz="8" w:space="0"/>
            </w:tcBorders>
            <w:vAlign w:val="bottom"/>
          </w:tcPr>
          <w:p w14:paraId="00310C76">
            <w:pPr>
              <w:widowControl/>
              <w:spacing w:line="240" w:lineRule="atLeast"/>
              <w:jc w:val="left"/>
              <w:rPr>
                <w:rFonts w:ascii="宋体" w:hAnsi="宋体"/>
                <w:kern w:val="0"/>
                <w:sz w:val="24"/>
              </w:rPr>
            </w:pPr>
          </w:p>
        </w:tc>
        <w:tc>
          <w:tcPr>
            <w:tcW w:w="1620" w:type="dxa"/>
            <w:tcBorders>
              <w:bottom w:val="single" w:color="auto" w:sz="8" w:space="0"/>
              <w:right w:val="single" w:color="auto" w:sz="8" w:space="0"/>
            </w:tcBorders>
            <w:vAlign w:val="bottom"/>
          </w:tcPr>
          <w:p w14:paraId="4C664967">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3E548901">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1E01D8F0">
            <w:pPr>
              <w:widowControl/>
              <w:spacing w:line="240" w:lineRule="atLeast"/>
              <w:jc w:val="left"/>
              <w:rPr>
                <w:rFonts w:ascii="宋体" w:hAnsi="宋体"/>
                <w:kern w:val="0"/>
                <w:sz w:val="24"/>
              </w:rPr>
            </w:pPr>
          </w:p>
        </w:tc>
      </w:tr>
      <w:tr w14:paraId="51A436C3">
        <w:tblPrEx>
          <w:tblCellMar>
            <w:top w:w="0" w:type="dxa"/>
            <w:left w:w="0" w:type="dxa"/>
            <w:bottom w:w="0" w:type="dxa"/>
            <w:right w:w="0" w:type="dxa"/>
          </w:tblCellMar>
        </w:tblPrEx>
        <w:trPr>
          <w:trHeight w:val="818" w:hRule="atLeast"/>
        </w:trPr>
        <w:tc>
          <w:tcPr>
            <w:tcW w:w="720" w:type="dxa"/>
            <w:tcBorders>
              <w:left w:val="single" w:color="auto" w:sz="8" w:space="0"/>
              <w:bottom w:val="single" w:color="auto" w:sz="8" w:space="0"/>
              <w:right w:val="single" w:color="auto" w:sz="8" w:space="0"/>
            </w:tcBorders>
            <w:vAlign w:val="bottom"/>
          </w:tcPr>
          <w:p w14:paraId="4B9427DF">
            <w:pPr>
              <w:widowControl/>
              <w:spacing w:line="240" w:lineRule="atLeast"/>
              <w:jc w:val="left"/>
              <w:rPr>
                <w:rFonts w:ascii="宋体" w:hAnsi="宋体"/>
                <w:kern w:val="0"/>
                <w:sz w:val="24"/>
              </w:rPr>
            </w:pPr>
          </w:p>
        </w:tc>
        <w:tc>
          <w:tcPr>
            <w:tcW w:w="1240" w:type="dxa"/>
            <w:tcBorders>
              <w:bottom w:val="single" w:color="auto" w:sz="8" w:space="0"/>
              <w:right w:val="single" w:color="auto" w:sz="8" w:space="0"/>
            </w:tcBorders>
            <w:vAlign w:val="bottom"/>
          </w:tcPr>
          <w:p w14:paraId="33E79621">
            <w:pPr>
              <w:widowControl/>
              <w:spacing w:line="240" w:lineRule="atLeast"/>
              <w:jc w:val="left"/>
              <w:rPr>
                <w:rFonts w:ascii="宋体" w:hAnsi="宋体"/>
                <w:kern w:val="0"/>
                <w:sz w:val="24"/>
              </w:rPr>
            </w:pPr>
          </w:p>
        </w:tc>
        <w:tc>
          <w:tcPr>
            <w:tcW w:w="1260" w:type="dxa"/>
            <w:tcBorders>
              <w:bottom w:val="single" w:color="auto" w:sz="8" w:space="0"/>
              <w:right w:val="single" w:color="auto" w:sz="8" w:space="0"/>
            </w:tcBorders>
            <w:vAlign w:val="bottom"/>
          </w:tcPr>
          <w:p w14:paraId="6F2DB2A8">
            <w:pPr>
              <w:widowControl/>
              <w:spacing w:line="240" w:lineRule="atLeast"/>
              <w:jc w:val="left"/>
              <w:rPr>
                <w:rFonts w:ascii="宋体" w:hAnsi="宋体"/>
                <w:kern w:val="0"/>
                <w:sz w:val="24"/>
              </w:rPr>
            </w:pPr>
          </w:p>
        </w:tc>
        <w:tc>
          <w:tcPr>
            <w:tcW w:w="840" w:type="dxa"/>
            <w:tcBorders>
              <w:bottom w:val="single" w:color="auto" w:sz="8" w:space="0"/>
              <w:right w:val="single" w:color="auto" w:sz="8" w:space="0"/>
            </w:tcBorders>
            <w:vAlign w:val="bottom"/>
          </w:tcPr>
          <w:p w14:paraId="67AE36CC">
            <w:pPr>
              <w:widowControl/>
              <w:spacing w:line="240" w:lineRule="atLeast"/>
              <w:jc w:val="left"/>
              <w:rPr>
                <w:rFonts w:ascii="宋体" w:hAnsi="宋体"/>
                <w:kern w:val="0"/>
                <w:sz w:val="24"/>
              </w:rPr>
            </w:pPr>
          </w:p>
        </w:tc>
        <w:tc>
          <w:tcPr>
            <w:tcW w:w="680" w:type="dxa"/>
            <w:tcBorders>
              <w:bottom w:val="single" w:color="auto" w:sz="8" w:space="0"/>
              <w:right w:val="single" w:color="auto" w:sz="8" w:space="0"/>
            </w:tcBorders>
            <w:vAlign w:val="bottom"/>
          </w:tcPr>
          <w:p w14:paraId="58D6CA9F">
            <w:pPr>
              <w:widowControl/>
              <w:spacing w:line="240" w:lineRule="atLeast"/>
              <w:jc w:val="left"/>
              <w:rPr>
                <w:rFonts w:ascii="宋体" w:hAnsi="宋体"/>
                <w:kern w:val="0"/>
                <w:sz w:val="24"/>
              </w:rPr>
            </w:pPr>
          </w:p>
        </w:tc>
        <w:tc>
          <w:tcPr>
            <w:tcW w:w="880" w:type="dxa"/>
            <w:tcBorders>
              <w:bottom w:val="single" w:color="auto" w:sz="8" w:space="0"/>
              <w:right w:val="single" w:color="auto" w:sz="8" w:space="0"/>
            </w:tcBorders>
            <w:vAlign w:val="bottom"/>
          </w:tcPr>
          <w:p w14:paraId="315CA3FE">
            <w:pPr>
              <w:widowControl/>
              <w:spacing w:line="240" w:lineRule="atLeast"/>
              <w:jc w:val="left"/>
              <w:rPr>
                <w:rFonts w:ascii="宋体" w:hAnsi="宋体"/>
                <w:kern w:val="0"/>
                <w:sz w:val="24"/>
              </w:rPr>
            </w:pPr>
          </w:p>
        </w:tc>
        <w:tc>
          <w:tcPr>
            <w:tcW w:w="1620" w:type="dxa"/>
            <w:tcBorders>
              <w:bottom w:val="single" w:color="auto" w:sz="8" w:space="0"/>
              <w:right w:val="single" w:color="auto" w:sz="8" w:space="0"/>
            </w:tcBorders>
            <w:vAlign w:val="bottom"/>
          </w:tcPr>
          <w:p w14:paraId="63122772">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6A91F814">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10845325">
            <w:pPr>
              <w:widowControl/>
              <w:spacing w:line="240" w:lineRule="atLeast"/>
              <w:jc w:val="left"/>
              <w:rPr>
                <w:rFonts w:ascii="宋体" w:hAnsi="宋体"/>
                <w:kern w:val="0"/>
                <w:sz w:val="24"/>
              </w:rPr>
            </w:pPr>
          </w:p>
        </w:tc>
      </w:tr>
      <w:tr w14:paraId="714F5105">
        <w:tblPrEx>
          <w:tblCellMar>
            <w:top w:w="0" w:type="dxa"/>
            <w:left w:w="0" w:type="dxa"/>
            <w:bottom w:w="0" w:type="dxa"/>
            <w:right w:w="0" w:type="dxa"/>
          </w:tblCellMar>
        </w:tblPrEx>
        <w:trPr>
          <w:trHeight w:val="820" w:hRule="atLeast"/>
        </w:trPr>
        <w:tc>
          <w:tcPr>
            <w:tcW w:w="720" w:type="dxa"/>
            <w:tcBorders>
              <w:left w:val="single" w:color="auto" w:sz="8" w:space="0"/>
              <w:bottom w:val="single" w:color="auto" w:sz="8" w:space="0"/>
              <w:right w:val="single" w:color="auto" w:sz="8" w:space="0"/>
            </w:tcBorders>
            <w:vAlign w:val="bottom"/>
          </w:tcPr>
          <w:p w14:paraId="0EA7F42F">
            <w:pPr>
              <w:widowControl/>
              <w:spacing w:line="240" w:lineRule="atLeast"/>
              <w:jc w:val="left"/>
              <w:rPr>
                <w:rFonts w:ascii="宋体" w:hAnsi="宋体"/>
                <w:kern w:val="0"/>
                <w:sz w:val="24"/>
              </w:rPr>
            </w:pPr>
          </w:p>
        </w:tc>
        <w:tc>
          <w:tcPr>
            <w:tcW w:w="1240" w:type="dxa"/>
            <w:tcBorders>
              <w:bottom w:val="single" w:color="auto" w:sz="8" w:space="0"/>
              <w:right w:val="single" w:color="auto" w:sz="8" w:space="0"/>
            </w:tcBorders>
            <w:vAlign w:val="bottom"/>
          </w:tcPr>
          <w:p w14:paraId="59628014">
            <w:pPr>
              <w:widowControl/>
              <w:spacing w:line="240" w:lineRule="atLeast"/>
              <w:jc w:val="left"/>
              <w:rPr>
                <w:rFonts w:ascii="宋体" w:hAnsi="宋体"/>
                <w:kern w:val="0"/>
                <w:sz w:val="24"/>
              </w:rPr>
            </w:pPr>
          </w:p>
        </w:tc>
        <w:tc>
          <w:tcPr>
            <w:tcW w:w="1260" w:type="dxa"/>
            <w:tcBorders>
              <w:bottom w:val="single" w:color="auto" w:sz="8" w:space="0"/>
              <w:right w:val="single" w:color="auto" w:sz="8" w:space="0"/>
            </w:tcBorders>
            <w:vAlign w:val="bottom"/>
          </w:tcPr>
          <w:p w14:paraId="5EA0AF21">
            <w:pPr>
              <w:widowControl/>
              <w:spacing w:line="240" w:lineRule="atLeast"/>
              <w:jc w:val="left"/>
              <w:rPr>
                <w:rFonts w:ascii="宋体" w:hAnsi="宋体"/>
                <w:kern w:val="0"/>
                <w:sz w:val="24"/>
              </w:rPr>
            </w:pPr>
          </w:p>
        </w:tc>
        <w:tc>
          <w:tcPr>
            <w:tcW w:w="840" w:type="dxa"/>
            <w:tcBorders>
              <w:bottom w:val="single" w:color="auto" w:sz="8" w:space="0"/>
              <w:right w:val="single" w:color="auto" w:sz="8" w:space="0"/>
            </w:tcBorders>
            <w:vAlign w:val="bottom"/>
          </w:tcPr>
          <w:p w14:paraId="60174565">
            <w:pPr>
              <w:widowControl/>
              <w:spacing w:line="240" w:lineRule="atLeast"/>
              <w:jc w:val="left"/>
              <w:rPr>
                <w:rFonts w:ascii="宋体" w:hAnsi="宋体"/>
                <w:kern w:val="0"/>
                <w:sz w:val="24"/>
              </w:rPr>
            </w:pPr>
          </w:p>
        </w:tc>
        <w:tc>
          <w:tcPr>
            <w:tcW w:w="680" w:type="dxa"/>
            <w:tcBorders>
              <w:bottom w:val="single" w:color="auto" w:sz="8" w:space="0"/>
              <w:right w:val="single" w:color="auto" w:sz="8" w:space="0"/>
            </w:tcBorders>
            <w:vAlign w:val="bottom"/>
          </w:tcPr>
          <w:p w14:paraId="73A10173">
            <w:pPr>
              <w:widowControl/>
              <w:spacing w:line="240" w:lineRule="atLeast"/>
              <w:jc w:val="left"/>
              <w:rPr>
                <w:rFonts w:ascii="宋体" w:hAnsi="宋体"/>
                <w:kern w:val="0"/>
                <w:sz w:val="24"/>
              </w:rPr>
            </w:pPr>
          </w:p>
        </w:tc>
        <w:tc>
          <w:tcPr>
            <w:tcW w:w="880" w:type="dxa"/>
            <w:tcBorders>
              <w:bottom w:val="single" w:color="auto" w:sz="8" w:space="0"/>
              <w:right w:val="single" w:color="auto" w:sz="8" w:space="0"/>
            </w:tcBorders>
            <w:vAlign w:val="bottom"/>
          </w:tcPr>
          <w:p w14:paraId="69CB0735">
            <w:pPr>
              <w:widowControl/>
              <w:spacing w:line="240" w:lineRule="atLeast"/>
              <w:jc w:val="left"/>
              <w:rPr>
                <w:rFonts w:ascii="宋体" w:hAnsi="宋体"/>
                <w:kern w:val="0"/>
                <w:sz w:val="24"/>
              </w:rPr>
            </w:pPr>
          </w:p>
        </w:tc>
        <w:tc>
          <w:tcPr>
            <w:tcW w:w="1620" w:type="dxa"/>
            <w:tcBorders>
              <w:bottom w:val="single" w:color="auto" w:sz="8" w:space="0"/>
              <w:right w:val="single" w:color="auto" w:sz="8" w:space="0"/>
            </w:tcBorders>
            <w:vAlign w:val="bottom"/>
          </w:tcPr>
          <w:p w14:paraId="1B86CD1C">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234D5953">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18DE4712">
            <w:pPr>
              <w:widowControl/>
              <w:spacing w:line="240" w:lineRule="atLeast"/>
              <w:jc w:val="left"/>
              <w:rPr>
                <w:rFonts w:ascii="宋体" w:hAnsi="宋体"/>
                <w:kern w:val="0"/>
                <w:sz w:val="24"/>
              </w:rPr>
            </w:pPr>
          </w:p>
        </w:tc>
      </w:tr>
      <w:tr w14:paraId="770B7B4A">
        <w:tblPrEx>
          <w:tblCellMar>
            <w:top w:w="0" w:type="dxa"/>
            <w:left w:w="0" w:type="dxa"/>
            <w:bottom w:w="0" w:type="dxa"/>
            <w:right w:w="0" w:type="dxa"/>
          </w:tblCellMar>
        </w:tblPrEx>
        <w:trPr>
          <w:trHeight w:val="820" w:hRule="atLeast"/>
        </w:trPr>
        <w:tc>
          <w:tcPr>
            <w:tcW w:w="720" w:type="dxa"/>
            <w:tcBorders>
              <w:left w:val="single" w:color="auto" w:sz="8" w:space="0"/>
              <w:bottom w:val="single" w:color="auto" w:sz="8" w:space="0"/>
              <w:right w:val="single" w:color="auto" w:sz="8" w:space="0"/>
            </w:tcBorders>
            <w:vAlign w:val="bottom"/>
          </w:tcPr>
          <w:p w14:paraId="0A651578">
            <w:pPr>
              <w:widowControl/>
              <w:spacing w:line="240" w:lineRule="atLeast"/>
              <w:jc w:val="left"/>
              <w:rPr>
                <w:rFonts w:ascii="宋体" w:hAnsi="宋体"/>
                <w:kern w:val="0"/>
                <w:sz w:val="24"/>
              </w:rPr>
            </w:pPr>
          </w:p>
        </w:tc>
        <w:tc>
          <w:tcPr>
            <w:tcW w:w="1240" w:type="dxa"/>
            <w:tcBorders>
              <w:bottom w:val="single" w:color="auto" w:sz="8" w:space="0"/>
              <w:right w:val="single" w:color="auto" w:sz="8" w:space="0"/>
            </w:tcBorders>
            <w:vAlign w:val="bottom"/>
          </w:tcPr>
          <w:p w14:paraId="3EFA6E0D">
            <w:pPr>
              <w:widowControl/>
              <w:spacing w:line="240" w:lineRule="atLeast"/>
              <w:jc w:val="left"/>
              <w:rPr>
                <w:rFonts w:ascii="宋体" w:hAnsi="宋体"/>
                <w:kern w:val="0"/>
                <w:sz w:val="24"/>
              </w:rPr>
            </w:pPr>
          </w:p>
        </w:tc>
        <w:tc>
          <w:tcPr>
            <w:tcW w:w="1260" w:type="dxa"/>
            <w:tcBorders>
              <w:bottom w:val="single" w:color="auto" w:sz="8" w:space="0"/>
              <w:right w:val="single" w:color="auto" w:sz="8" w:space="0"/>
            </w:tcBorders>
            <w:vAlign w:val="bottom"/>
          </w:tcPr>
          <w:p w14:paraId="36985EEE">
            <w:pPr>
              <w:widowControl/>
              <w:spacing w:line="240" w:lineRule="atLeast"/>
              <w:jc w:val="left"/>
              <w:rPr>
                <w:rFonts w:ascii="宋体" w:hAnsi="宋体"/>
                <w:kern w:val="0"/>
                <w:sz w:val="24"/>
              </w:rPr>
            </w:pPr>
          </w:p>
        </w:tc>
        <w:tc>
          <w:tcPr>
            <w:tcW w:w="840" w:type="dxa"/>
            <w:tcBorders>
              <w:bottom w:val="single" w:color="auto" w:sz="8" w:space="0"/>
              <w:right w:val="single" w:color="auto" w:sz="8" w:space="0"/>
            </w:tcBorders>
            <w:vAlign w:val="bottom"/>
          </w:tcPr>
          <w:p w14:paraId="10CEE6E1">
            <w:pPr>
              <w:widowControl/>
              <w:spacing w:line="240" w:lineRule="atLeast"/>
              <w:jc w:val="left"/>
              <w:rPr>
                <w:rFonts w:ascii="宋体" w:hAnsi="宋体"/>
                <w:kern w:val="0"/>
                <w:sz w:val="24"/>
              </w:rPr>
            </w:pPr>
          </w:p>
        </w:tc>
        <w:tc>
          <w:tcPr>
            <w:tcW w:w="680" w:type="dxa"/>
            <w:tcBorders>
              <w:bottom w:val="single" w:color="auto" w:sz="8" w:space="0"/>
              <w:right w:val="single" w:color="auto" w:sz="8" w:space="0"/>
            </w:tcBorders>
            <w:vAlign w:val="bottom"/>
          </w:tcPr>
          <w:p w14:paraId="316308A8">
            <w:pPr>
              <w:widowControl/>
              <w:spacing w:line="240" w:lineRule="atLeast"/>
              <w:jc w:val="left"/>
              <w:rPr>
                <w:rFonts w:ascii="宋体" w:hAnsi="宋体"/>
                <w:kern w:val="0"/>
                <w:sz w:val="24"/>
              </w:rPr>
            </w:pPr>
          </w:p>
        </w:tc>
        <w:tc>
          <w:tcPr>
            <w:tcW w:w="880" w:type="dxa"/>
            <w:tcBorders>
              <w:bottom w:val="single" w:color="auto" w:sz="8" w:space="0"/>
              <w:right w:val="single" w:color="auto" w:sz="8" w:space="0"/>
            </w:tcBorders>
            <w:vAlign w:val="bottom"/>
          </w:tcPr>
          <w:p w14:paraId="3F9EA87D">
            <w:pPr>
              <w:widowControl/>
              <w:spacing w:line="240" w:lineRule="atLeast"/>
              <w:jc w:val="left"/>
              <w:rPr>
                <w:rFonts w:ascii="宋体" w:hAnsi="宋体"/>
                <w:kern w:val="0"/>
                <w:sz w:val="24"/>
              </w:rPr>
            </w:pPr>
          </w:p>
        </w:tc>
        <w:tc>
          <w:tcPr>
            <w:tcW w:w="1620" w:type="dxa"/>
            <w:tcBorders>
              <w:bottom w:val="single" w:color="auto" w:sz="8" w:space="0"/>
              <w:right w:val="single" w:color="auto" w:sz="8" w:space="0"/>
            </w:tcBorders>
            <w:vAlign w:val="bottom"/>
          </w:tcPr>
          <w:p w14:paraId="762BEE8C">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7B04A2DD">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3DE43BA7">
            <w:pPr>
              <w:widowControl/>
              <w:spacing w:line="240" w:lineRule="atLeast"/>
              <w:jc w:val="left"/>
              <w:rPr>
                <w:rFonts w:ascii="宋体" w:hAnsi="宋体"/>
                <w:kern w:val="0"/>
                <w:sz w:val="24"/>
              </w:rPr>
            </w:pPr>
          </w:p>
        </w:tc>
      </w:tr>
      <w:tr w14:paraId="5EF67AE4">
        <w:tblPrEx>
          <w:tblCellMar>
            <w:top w:w="0" w:type="dxa"/>
            <w:left w:w="0" w:type="dxa"/>
            <w:bottom w:w="0" w:type="dxa"/>
            <w:right w:w="0" w:type="dxa"/>
          </w:tblCellMar>
        </w:tblPrEx>
        <w:trPr>
          <w:trHeight w:val="818" w:hRule="atLeast"/>
        </w:trPr>
        <w:tc>
          <w:tcPr>
            <w:tcW w:w="720" w:type="dxa"/>
            <w:tcBorders>
              <w:left w:val="single" w:color="auto" w:sz="8" w:space="0"/>
              <w:bottom w:val="single" w:color="auto" w:sz="8" w:space="0"/>
              <w:right w:val="single" w:color="auto" w:sz="8" w:space="0"/>
            </w:tcBorders>
            <w:vAlign w:val="bottom"/>
          </w:tcPr>
          <w:p w14:paraId="5ED16B5C">
            <w:pPr>
              <w:widowControl/>
              <w:spacing w:line="240" w:lineRule="atLeast"/>
              <w:jc w:val="left"/>
              <w:rPr>
                <w:rFonts w:ascii="宋体" w:hAnsi="宋体"/>
                <w:kern w:val="0"/>
                <w:sz w:val="24"/>
              </w:rPr>
            </w:pPr>
          </w:p>
        </w:tc>
        <w:tc>
          <w:tcPr>
            <w:tcW w:w="1240" w:type="dxa"/>
            <w:tcBorders>
              <w:bottom w:val="single" w:color="auto" w:sz="8" w:space="0"/>
              <w:right w:val="single" w:color="auto" w:sz="8" w:space="0"/>
            </w:tcBorders>
            <w:vAlign w:val="bottom"/>
          </w:tcPr>
          <w:p w14:paraId="44EE9460">
            <w:pPr>
              <w:widowControl/>
              <w:spacing w:line="240" w:lineRule="atLeast"/>
              <w:jc w:val="left"/>
              <w:rPr>
                <w:rFonts w:ascii="宋体" w:hAnsi="宋体"/>
                <w:kern w:val="0"/>
                <w:sz w:val="24"/>
              </w:rPr>
            </w:pPr>
          </w:p>
        </w:tc>
        <w:tc>
          <w:tcPr>
            <w:tcW w:w="1260" w:type="dxa"/>
            <w:tcBorders>
              <w:bottom w:val="single" w:color="auto" w:sz="8" w:space="0"/>
              <w:right w:val="single" w:color="auto" w:sz="8" w:space="0"/>
            </w:tcBorders>
            <w:vAlign w:val="bottom"/>
          </w:tcPr>
          <w:p w14:paraId="67AA2ABC">
            <w:pPr>
              <w:widowControl/>
              <w:spacing w:line="240" w:lineRule="atLeast"/>
              <w:jc w:val="left"/>
              <w:rPr>
                <w:rFonts w:ascii="宋体" w:hAnsi="宋体"/>
                <w:kern w:val="0"/>
                <w:sz w:val="24"/>
              </w:rPr>
            </w:pPr>
          </w:p>
        </w:tc>
        <w:tc>
          <w:tcPr>
            <w:tcW w:w="840" w:type="dxa"/>
            <w:tcBorders>
              <w:bottom w:val="single" w:color="auto" w:sz="8" w:space="0"/>
              <w:right w:val="single" w:color="auto" w:sz="8" w:space="0"/>
            </w:tcBorders>
            <w:vAlign w:val="bottom"/>
          </w:tcPr>
          <w:p w14:paraId="722ECB26">
            <w:pPr>
              <w:widowControl/>
              <w:spacing w:line="240" w:lineRule="atLeast"/>
              <w:jc w:val="left"/>
              <w:rPr>
                <w:rFonts w:ascii="宋体" w:hAnsi="宋体"/>
                <w:kern w:val="0"/>
                <w:sz w:val="24"/>
              </w:rPr>
            </w:pPr>
          </w:p>
        </w:tc>
        <w:tc>
          <w:tcPr>
            <w:tcW w:w="680" w:type="dxa"/>
            <w:tcBorders>
              <w:bottom w:val="single" w:color="auto" w:sz="8" w:space="0"/>
              <w:right w:val="single" w:color="auto" w:sz="8" w:space="0"/>
            </w:tcBorders>
            <w:vAlign w:val="bottom"/>
          </w:tcPr>
          <w:p w14:paraId="4F7761E6">
            <w:pPr>
              <w:widowControl/>
              <w:spacing w:line="240" w:lineRule="atLeast"/>
              <w:jc w:val="left"/>
              <w:rPr>
                <w:rFonts w:ascii="宋体" w:hAnsi="宋体"/>
                <w:kern w:val="0"/>
                <w:sz w:val="24"/>
              </w:rPr>
            </w:pPr>
          </w:p>
        </w:tc>
        <w:tc>
          <w:tcPr>
            <w:tcW w:w="880" w:type="dxa"/>
            <w:tcBorders>
              <w:bottom w:val="single" w:color="auto" w:sz="8" w:space="0"/>
              <w:right w:val="single" w:color="auto" w:sz="8" w:space="0"/>
            </w:tcBorders>
            <w:vAlign w:val="bottom"/>
          </w:tcPr>
          <w:p w14:paraId="4C1A1240">
            <w:pPr>
              <w:widowControl/>
              <w:spacing w:line="240" w:lineRule="atLeast"/>
              <w:jc w:val="left"/>
              <w:rPr>
                <w:rFonts w:ascii="宋体" w:hAnsi="宋体"/>
                <w:kern w:val="0"/>
                <w:sz w:val="24"/>
              </w:rPr>
            </w:pPr>
          </w:p>
        </w:tc>
        <w:tc>
          <w:tcPr>
            <w:tcW w:w="1620" w:type="dxa"/>
            <w:tcBorders>
              <w:bottom w:val="single" w:color="auto" w:sz="8" w:space="0"/>
              <w:right w:val="single" w:color="auto" w:sz="8" w:space="0"/>
            </w:tcBorders>
            <w:vAlign w:val="bottom"/>
          </w:tcPr>
          <w:p w14:paraId="1E2CDE83">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34D746C8">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107F98AA">
            <w:pPr>
              <w:widowControl/>
              <w:spacing w:line="240" w:lineRule="atLeast"/>
              <w:jc w:val="left"/>
              <w:rPr>
                <w:rFonts w:ascii="宋体" w:hAnsi="宋体"/>
                <w:kern w:val="0"/>
                <w:sz w:val="24"/>
              </w:rPr>
            </w:pPr>
          </w:p>
        </w:tc>
      </w:tr>
      <w:tr w14:paraId="3797981C">
        <w:tblPrEx>
          <w:tblCellMar>
            <w:top w:w="0" w:type="dxa"/>
            <w:left w:w="0" w:type="dxa"/>
            <w:bottom w:w="0" w:type="dxa"/>
            <w:right w:w="0" w:type="dxa"/>
          </w:tblCellMar>
        </w:tblPrEx>
        <w:trPr>
          <w:trHeight w:val="820" w:hRule="atLeast"/>
        </w:trPr>
        <w:tc>
          <w:tcPr>
            <w:tcW w:w="720" w:type="dxa"/>
            <w:tcBorders>
              <w:left w:val="single" w:color="auto" w:sz="8" w:space="0"/>
              <w:bottom w:val="single" w:color="auto" w:sz="8" w:space="0"/>
              <w:right w:val="single" w:color="auto" w:sz="8" w:space="0"/>
            </w:tcBorders>
            <w:vAlign w:val="bottom"/>
          </w:tcPr>
          <w:p w14:paraId="73327CD6">
            <w:pPr>
              <w:widowControl/>
              <w:spacing w:line="240" w:lineRule="atLeast"/>
              <w:jc w:val="left"/>
              <w:rPr>
                <w:rFonts w:ascii="宋体" w:hAnsi="宋体"/>
                <w:kern w:val="0"/>
                <w:sz w:val="24"/>
              </w:rPr>
            </w:pPr>
          </w:p>
        </w:tc>
        <w:tc>
          <w:tcPr>
            <w:tcW w:w="1240" w:type="dxa"/>
            <w:tcBorders>
              <w:bottom w:val="single" w:color="auto" w:sz="8" w:space="0"/>
              <w:right w:val="single" w:color="auto" w:sz="8" w:space="0"/>
            </w:tcBorders>
            <w:vAlign w:val="bottom"/>
          </w:tcPr>
          <w:p w14:paraId="476C845C">
            <w:pPr>
              <w:widowControl/>
              <w:spacing w:line="240" w:lineRule="atLeast"/>
              <w:jc w:val="left"/>
              <w:rPr>
                <w:rFonts w:ascii="宋体" w:hAnsi="宋体"/>
                <w:kern w:val="0"/>
                <w:sz w:val="24"/>
              </w:rPr>
            </w:pPr>
          </w:p>
        </w:tc>
        <w:tc>
          <w:tcPr>
            <w:tcW w:w="1260" w:type="dxa"/>
            <w:tcBorders>
              <w:bottom w:val="single" w:color="auto" w:sz="8" w:space="0"/>
              <w:right w:val="single" w:color="auto" w:sz="8" w:space="0"/>
            </w:tcBorders>
            <w:vAlign w:val="bottom"/>
          </w:tcPr>
          <w:p w14:paraId="4F90F1AD">
            <w:pPr>
              <w:widowControl/>
              <w:spacing w:line="240" w:lineRule="atLeast"/>
              <w:jc w:val="left"/>
              <w:rPr>
                <w:rFonts w:ascii="宋体" w:hAnsi="宋体"/>
                <w:kern w:val="0"/>
                <w:sz w:val="24"/>
              </w:rPr>
            </w:pPr>
          </w:p>
        </w:tc>
        <w:tc>
          <w:tcPr>
            <w:tcW w:w="840" w:type="dxa"/>
            <w:tcBorders>
              <w:bottom w:val="single" w:color="auto" w:sz="8" w:space="0"/>
              <w:right w:val="single" w:color="auto" w:sz="8" w:space="0"/>
            </w:tcBorders>
            <w:vAlign w:val="bottom"/>
          </w:tcPr>
          <w:p w14:paraId="1C0BA09B">
            <w:pPr>
              <w:widowControl/>
              <w:spacing w:line="240" w:lineRule="atLeast"/>
              <w:jc w:val="left"/>
              <w:rPr>
                <w:rFonts w:ascii="宋体" w:hAnsi="宋体"/>
                <w:kern w:val="0"/>
                <w:sz w:val="24"/>
              </w:rPr>
            </w:pPr>
          </w:p>
        </w:tc>
        <w:tc>
          <w:tcPr>
            <w:tcW w:w="680" w:type="dxa"/>
            <w:tcBorders>
              <w:bottom w:val="single" w:color="auto" w:sz="8" w:space="0"/>
              <w:right w:val="single" w:color="auto" w:sz="8" w:space="0"/>
            </w:tcBorders>
            <w:vAlign w:val="bottom"/>
          </w:tcPr>
          <w:p w14:paraId="5FBF94FF">
            <w:pPr>
              <w:widowControl/>
              <w:spacing w:line="240" w:lineRule="atLeast"/>
              <w:jc w:val="left"/>
              <w:rPr>
                <w:rFonts w:ascii="宋体" w:hAnsi="宋体"/>
                <w:kern w:val="0"/>
                <w:sz w:val="24"/>
              </w:rPr>
            </w:pPr>
          </w:p>
        </w:tc>
        <w:tc>
          <w:tcPr>
            <w:tcW w:w="880" w:type="dxa"/>
            <w:tcBorders>
              <w:bottom w:val="single" w:color="auto" w:sz="8" w:space="0"/>
              <w:right w:val="single" w:color="auto" w:sz="8" w:space="0"/>
            </w:tcBorders>
            <w:vAlign w:val="bottom"/>
          </w:tcPr>
          <w:p w14:paraId="50ED9348">
            <w:pPr>
              <w:widowControl/>
              <w:spacing w:line="240" w:lineRule="atLeast"/>
              <w:jc w:val="left"/>
              <w:rPr>
                <w:rFonts w:ascii="宋体" w:hAnsi="宋体"/>
                <w:kern w:val="0"/>
                <w:sz w:val="24"/>
              </w:rPr>
            </w:pPr>
          </w:p>
        </w:tc>
        <w:tc>
          <w:tcPr>
            <w:tcW w:w="1620" w:type="dxa"/>
            <w:tcBorders>
              <w:bottom w:val="single" w:color="auto" w:sz="8" w:space="0"/>
              <w:right w:val="single" w:color="auto" w:sz="8" w:space="0"/>
            </w:tcBorders>
            <w:vAlign w:val="bottom"/>
          </w:tcPr>
          <w:p w14:paraId="673E904F">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4B3D0BF7">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1591DB30">
            <w:pPr>
              <w:widowControl/>
              <w:spacing w:line="240" w:lineRule="atLeast"/>
              <w:jc w:val="left"/>
              <w:rPr>
                <w:rFonts w:ascii="宋体" w:hAnsi="宋体"/>
                <w:kern w:val="0"/>
                <w:sz w:val="24"/>
              </w:rPr>
            </w:pPr>
          </w:p>
        </w:tc>
      </w:tr>
      <w:tr w14:paraId="30CCB79B">
        <w:tblPrEx>
          <w:tblCellMar>
            <w:top w:w="0" w:type="dxa"/>
            <w:left w:w="0" w:type="dxa"/>
            <w:bottom w:w="0" w:type="dxa"/>
            <w:right w:w="0" w:type="dxa"/>
          </w:tblCellMar>
        </w:tblPrEx>
        <w:trPr>
          <w:trHeight w:val="820" w:hRule="atLeast"/>
        </w:trPr>
        <w:tc>
          <w:tcPr>
            <w:tcW w:w="720" w:type="dxa"/>
            <w:tcBorders>
              <w:left w:val="single" w:color="auto" w:sz="8" w:space="0"/>
              <w:bottom w:val="single" w:color="auto" w:sz="8" w:space="0"/>
              <w:right w:val="single" w:color="auto" w:sz="8" w:space="0"/>
            </w:tcBorders>
            <w:vAlign w:val="bottom"/>
          </w:tcPr>
          <w:p w14:paraId="485CA028">
            <w:pPr>
              <w:widowControl/>
              <w:spacing w:line="240" w:lineRule="atLeast"/>
              <w:jc w:val="left"/>
              <w:rPr>
                <w:rFonts w:ascii="宋体" w:hAnsi="宋体"/>
                <w:kern w:val="0"/>
                <w:sz w:val="24"/>
              </w:rPr>
            </w:pPr>
          </w:p>
        </w:tc>
        <w:tc>
          <w:tcPr>
            <w:tcW w:w="1240" w:type="dxa"/>
            <w:tcBorders>
              <w:bottom w:val="single" w:color="auto" w:sz="8" w:space="0"/>
              <w:right w:val="single" w:color="auto" w:sz="8" w:space="0"/>
            </w:tcBorders>
            <w:vAlign w:val="bottom"/>
          </w:tcPr>
          <w:p w14:paraId="24633A38">
            <w:pPr>
              <w:widowControl/>
              <w:spacing w:line="240" w:lineRule="atLeast"/>
              <w:jc w:val="left"/>
              <w:rPr>
                <w:rFonts w:ascii="宋体" w:hAnsi="宋体"/>
                <w:kern w:val="0"/>
                <w:sz w:val="24"/>
              </w:rPr>
            </w:pPr>
          </w:p>
        </w:tc>
        <w:tc>
          <w:tcPr>
            <w:tcW w:w="1260" w:type="dxa"/>
            <w:tcBorders>
              <w:bottom w:val="single" w:color="auto" w:sz="8" w:space="0"/>
              <w:right w:val="single" w:color="auto" w:sz="8" w:space="0"/>
            </w:tcBorders>
            <w:vAlign w:val="bottom"/>
          </w:tcPr>
          <w:p w14:paraId="053AD003">
            <w:pPr>
              <w:widowControl/>
              <w:spacing w:line="240" w:lineRule="atLeast"/>
              <w:jc w:val="left"/>
              <w:rPr>
                <w:rFonts w:ascii="宋体" w:hAnsi="宋体"/>
                <w:kern w:val="0"/>
                <w:sz w:val="24"/>
              </w:rPr>
            </w:pPr>
          </w:p>
        </w:tc>
        <w:tc>
          <w:tcPr>
            <w:tcW w:w="840" w:type="dxa"/>
            <w:tcBorders>
              <w:bottom w:val="single" w:color="auto" w:sz="8" w:space="0"/>
              <w:right w:val="single" w:color="auto" w:sz="8" w:space="0"/>
            </w:tcBorders>
            <w:vAlign w:val="bottom"/>
          </w:tcPr>
          <w:p w14:paraId="0EA125B2">
            <w:pPr>
              <w:widowControl/>
              <w:spacing w:line="240" w:lineRule="atLeast"/>
              <w:jc w:val="left"/>
              <w:rPr>
                <w:rFonts w:ascii="宋体" w:hAnsi="宋体"/>
                <w:kern w:val="0"/>
                <w:sz w:val="24"/>
              </w:rPr>
            </w:pPr>
          </w:p>
        </w:tc>
        <w:tc>
          <w:tcPr>
            <w:tcW w:w="680" w:type="dxa"/>
            <w:tcBorders>
              <w:bottom w:val="single" w:color="auto" w:sz="8" w:space="0"/>
              <w:right w:val="single" w:color="auto" w:sz="8" w:space="0"/>
            </w:tcBorders>
            <w:vAlign w:val="bottom"/>
          </w:tcPr>
          <w:p w14:paraId="6E9C0F8C">
            <w:pPr>
              <w:widowControl/>
              <w:spacing w:line="240" w:lineRule="atLeast"/>
              <w:jc w:val="left"/>
              <w:rPr>
                <w:rFonts w:ascii="宋体" w:hAnsi="宋体"/>
                <w:kern w:val="0"/>
                <w:sz w:val="24"/>
              </w:rPr>
            </w:pPr>
          </w:p>
        </w:tc>
        <w:tc>
          <w:tcPr>
            <w:tcW w:w="880" w:type="dxa"/>
            <w:tcBorders>
              <w:bottom w:val="single" w:color="auto" w:sz="8" w:space="0"/>
              <w:right w:val="single" w:color="auto" w:sz="8" w:space="0"/>
            </w:tcBorders>
            <w:vAlign w:val="bottom"/>
          </w:tcPr>
          <w:p w14:paraId="1BFFBACC">
            <w:pPr>
              <w:widowControl/>
              <w:spacing w:line="240" w:lineRule="atLeast"/>
              <w:jc w:val="left"/>
              <w:rPr>
                <w:rFonts w:ascii="宋体" w:hAnsi="宋体"/>
                <w:kern w:val="0"/>
                <w:sz w:val="24"/>
              </w:rPr>
            </w:pPr>
          </w:p>
        </w:tc>
        <w:tc>
          <w:tcPr>
            <w:tcW w:w="1620" w:type="dxa"/>
            <w:tcBorders>
              <w:bottom w:val="single" w:color="auto" w:sz="8" w:space="0"/>
              <w:right w:val="single" w:color="auto" w:sz="8" w:space="0"/>
            </w:tcBorders>
            <w:vAlign w:val="bottom"/>
          </w:tcPr>
          <w:p w14:paraId="48B89A1E">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40BDB7A5">
            <w:pPr>
              <w:widowControl/>
              <w:spacing w:line="240" w:lineRule="atLeast"/>
              <w:jc w:val="left"/>
              <w:rPr>
                <w:rFonts w:ascii="宋体" w:hAnsi="宋体"/>
                <w:kern w:val="0"/>
                <w:sz w:val="24"/>
              </w:rPr>
            </w:pPr>
          </w:p>
        </w:tc>
        <w:tc>
          <w:tcPr>
            <w:tcW w:w="980" w:type="dxa"/>
            <w:tcBorders>
              <w:bottom w:val="single" w:color="auto" w:sz="8" w:space="0"/>
              <w:right w:val="single" w:color="auto" w:sz="8" w:space="0"/>
            </w:tcBorders>
            <w:vAlign w:val="bottom"/>
          </w:tcPr>
          <w:p w14:paraId="084A7D58">
            <w:pPr>
              <w:widowControl/>
              <w:spacing w:line="240" w:lineRule="atLeast"/>
              <w:jc w:val="left"/>
              <w:rPr>
                <w:rFonts w:ascii="宋体" w:hAnsi="宋体"/>
                <w:kern w:val="0"/>
                <w:sz w:val="24"/>
              </w:rPr>
            </w:pPr>
          </w:p>
        </w:tc>
      </w:tr>
    </w:tbl>
    <w:p w14:paraId="15A459B0"/>
    <w:p w14:paraId="7E9358F3">
      <w:pPr>
        <w:jc w:val="center"/>
        <w:rPr>
          <w:b/>
          <w:bCs/>
          <w:sz w:val="30"/>
          <w:szCs w:val="30"/>
        </w:rPr>
      </w:pPr>
    </w:p>
    <w:p w14:paraId="2378110D">
      <w:pPr>
        <w:jc w:val="center"/>
        <w:rPr>
          <w:b/>
          <w:bCs/>
          <w:sz w:val="30"/>
          <w:szCs w:val="30"/>
        </w:rPr>
      </w:pPr>
    </w:p>
    <w:p w14:paraId="5A2DFBF3">
      <w:pPr>
        <w:jc w:val="center"/>
        <w:rPr>
          <w:b/>
          <w:bCs/>
          <w:sz w:val="30"/>
          <w:szCs w:val="30"/>
        </w:rPr>
      </w:pPr>
    </w:p>
    <w:p w14:paraId="596A9DC7">
      <w:pPr>
        <w:jc w:val="center"/>
        <w:rPr>
          <w:b/>
          <w:bCs/>
          <w:sz w:val="30"/>
          <w:szCs w:val="30"/>
        </w:rPr>
      </w:pPr>
    </w:p>
    <w:p w14:paraId="52EE7530">
      <w:pPr>
        <w:jc w:val="center"/>
        <w:rPr>
          <w:b/>
          <w:bCs/>
          <w:sz w:val="30"/>
          <w:szCs w:val="30"/>
        </w:rPr>
      </w:pPr>
    </w:p>
    <w:p w14:paraId="698ABBA2">
      <w:pPr>
        <w:jc w:val="center"/>
        <w:rPr>
          <w:b/>
          <w:bCs/>
          <w:sz w:val="30"/>
          <w:szCs w:val="30"/>
        </w:rPr>
      </w:pPr>
    </w:p>
    <w:p w14:paraId="0AA68A22">
      <w:pPr>
        <w:jc w:val="center"/>
        <w:rPr>
          <w:b/>
          <w:bCs/>
          <w:sz w:val="30"/>
          <w:szCs w:val="30"/>
        </w:rPr>
      </w:pPr>
    </w:p>
    <w:p w14:paraId="00E2DADD">
      <w:pPr>
        <w:jc w:val="center"/>
        <w:rPr>
          <w:b/>
          <w:bCs/>
          <w:sz w:val="30"/>
          <w:szCs w:val="30"/>
        </w:rPr>
      </w:pPr>
      <w:r>
        <w:rPr>
          <w:rFonts w:hint="eastAsia"/>
          <w:b/>
          <w:bCs/>
          <w:sz w:val="30"/>
          <w:szCs w:val="30"/>
        </w:rPr>
        <w:t>五、拟选派项目监理机构人员简历表（含附件）</w:t>
      </w:r>
    </w:p>
    <w:p w14:paraId="153CBF01">
      <w:pPr>
        <w:widowControl/>
        <w:spacing w:line="152" w:lineRule="exact"/>
        <w:jc w:val="left"/>
        <w:rPr>
          <w:kern w:val="0"/>
          <w:sz w:val="24"/>
        </w:rPr>
      </w:pPr>
    </w:p>
    <w:tbl>
      <w:tblPr>
        <w:tblStyle w:val="14"/>
        <w:tblW w:w="0" w:type="auto"/>
        <w:tblInd w:w="-664" w:type="dxa"/>
        <w:tblLayout w:type="fixed"/>
        <w:tblCellMar>
          <w:top w:w="0" w:type="dxa"/>
          <w:left w:w="0" w:type="dxa"/>
          <w:bottom w:w="0" w:type="dxa"/>
          <w:right w:w="0" w:type="dxa"/>
        </w:tblCellMar>
      </w:tblPr>
      <w:tblGrid>
        <w:gridCol w:w="1680"/>
        <w:gridCol w:w="1560"/>
        <w:gridCol w:w="960"/>
        <w:gridCol w:w="1320"/>
        <w:gridCol w:w="240"/>
        <w:gridCol w:w="1220"/>
        <w:gridCol w:w="1400"/>
        <w:gridCol w:w="1300"/>
      </w:tblGrid>
      <w:tr w14:paraId="52E16E49">
        <w:tblPrEx>
          <w:tblCellMar>
            <w:top w:w="0" w:type="dxa"/>
            <w:left w:w="0" w:type="dxa"/>
            <w:bottom w:w="0" w:type="dxa"/>
            <w:right w:w="0" w:type="dxa"/>
          </w:tblCellMar>
        </w:tblPrEx>
        <w:trPr>
          <w:trHeight w:val="270" w:hRule="atLeast"/>
        </w:trPr>
        <w:tc>
          <w:tcPr>
            <w:tcW w:w="1680" w:type="dxa"/>
            <w:tcBorders>
              <w:top w:val="single" w:color="auto" w:sz="8" w:space="0"/>
              <w:left w:val="single" w:color="auto" w:sz="8" w:space="0"/>
              <w:right w:val="single" w:color="auto" w:sz="8" w:space="0"/>
            </w:tcBorders>
            <w:vAlign w:val="bottom"/>
          </w:tcPr>
          <w:p w14:paraId="2CA245DC">
            <w:pPr>
              <w:widowControl/>
              <w:spacing w:line="239" w:lineRule="exact"/>
              <w:jc w:val="center"/>
              <w:rPr>
                <w:rFonts w:ascii="宋体" w:hAnsi="宋体" w:cs="宋体"/>
                <w:kern w:val="0"/>
                <w:szCs w:val="21"/>
              </w:rPr>
            </w:pPr>
            <w:r>
              <w:rPr>
                <w:rFonts w:hint="eastAsia" w:ascii="宋体" w:hAnsi="宋体" w:cs="宋体"/>
                <w:kern w:val="0"/>
                <w:szCs w:val="21"/>
              </w:rPr>
              <w:t>姓名</w:t>
            </w:r>
          </w:p>
        </w:tc>
        <w:tc>
          <w:tcPr>
            <w:tcW w:w="1560" w:type="dxa"/>
            <w:tcBorders>
              <w:top w:val="single" w:color="auto" w:sz="8" w:space="0"/>
              <w:right w:val="single" w:color="auto" w:sz="8" w:space="0"/>
            </w:tcBorders>
            <w:vAlign w:val="bottom"/>
          </w:tcPr>
          <w:p w14:paraId="1499EB93">
            <w:pPr>
              <w:widowControl/>
              <w:spacing w:line="240" w:lineRule="atLeast"/>
              <w:jc w:val="left"/>
              <w:rPr>
                <w:kern w:val="0"/>
                <w:sz w:val="23"/>
                <w:szCs w:val="23"/>
              </w:rPr>
            </w:pPr>
          </w:p>
        </w:tc>
        <w:tc>
          <w:tcPr>
            <w:tcW w:w="960" w:type="dxa"/>
            <w:tcBorders>
              <w:top w:val="single" w:color="auto" w:sz="8" w:space="0"/>
              <w:right w:val="single" w:color="auto" w:sz="8" w:space="0"/>
            </w:tcBorders>
            <w:vAlign w:val="bottom"/>
          </w:tcPr>
          <w:p w14:paraId="7D6FD32E">
            <w:pPr>
              <w:widowControl/>
              <w:spacing w:line="239" w:lineRule="exact"/>
              <w:ind w:left="260"/>
              <w:jc w:val="left"/>
              <w:rPr>
                <w:rFonts w:ascii="宋体" w:hAnsi="宋体" w:cs="宋体"/>
                <w:kern w:val="0"/>
                <w:szCs w:val="21"/>
              </w:rPr>
            </w:pPr>
            <w:r>
              <w:rPr>
                <w:rFonts w:hint="eastAsia" w:ascii="宋体" w:hAnsi="宋体" w:cs="宋体"/>
                <w:kern w:val="0"/>
                <w:szCs w:val="21"/>
              </w:rPr>
              <w:t>性别</w:t>
            </w:r>
          </w:p>
        </w:tc>
        <w:tc>
          <w:tcPr>
            <w:tcW w:w="1320" w:type="dxa"/>
            <w:tcBorders>
              <w:top w:val="single" w:color="auto" w:sz="8" w:space="0"/>
              <w:right w:val="single" w:color="auto" w:sz="8" w:space="0"/>
            </w:tcBorders>
            <w:vAlign w:val="bottom"/>
          </w:tcPr>
          <w:p w14:paraId="149D5965">
            <w:pPr>
              <w:widowControl/>
              <w:spacing w:line="240" w:lineRule="atLeast"/>
              <w:jc w:val="left"/>
              <w:rPr>
                <w:kern w:val="0"/>
                <w:sz w:val="23"/>
                <w:szCs w:val="23"/>
              </w:rPr>
            </w:pPr>
          </w:p>
        </w:tc>
        <w:tc>
          <w:tcPr>
            <w:tcW w:w="240" w:type="dxa"/>
            <w:tcBorders>
              <w:top w:val="single" w:color="auto" w:sz="8" w:space="0"/>
            </w:tcBorders>
            <w:vAlign w:val="bottom"/>
          </w:tcPr>
          <w:p w14:paraId="208CABD2">
            <w:pPr>
              <w:widowControl/>
              <w:spacing w:line="240" w:lineRule="atLeast"/>
              <w:jc w:val="left"/>
              <w:rPr>
                <w:kern w:val="0"/>
                <w:sz w:val="23"/>
                <w:szCs w:val="23"/>
              </w:rPr>
            </w:pPr>
          </w:p>
        </w:tc>
        <w:tc>
          <w:tcPr>
            <w:tcW w:w="1220" w:type="dxa"/>
            <w:tcBorders>
              <w:top w:val="single" w:color="auto" w:sz="8" w:space="0"/>
              <w:right w:val="single" w:color="auto" w:sz="8" w:space="0"/>
            </w:tcBorders>
            <w:vAlign w:val="bottom"/>
          </w:tcPr>
          <w:p w14:paraId="302556EC">
            <w:pPr>
              <w:widowControl/>
              <w:spacing w:line="239" w:lineRule="exact"/>
              <w:ind w:right="154"/>
              <w:jc w:val="center"/>
              <w:rPr>
                <w:rFonts w:ascii="宋体" w:hAnsi="宋体" w:cs="宋体"/>
                <w:kern w:val="0"/>
                <w:szCs w:val="21"/>
              </w:rPr>
            </w:pPr>
            <w:r>
              <w:rPr>
                <w:rFonts w:hint="eastAsia" w:ascii="宋体" w:hAnsi="宋体" w:cs="宋体"/>
                <w:kern w:val="0"/>
                <w:szCs w:val="21"/>
              </w:rPr>
              <w:t>职称</w:t>
            </w:r>
          </w:p>
        </w:tc>
        <w:tc>
          <w:tcPr>
            <w:tcW w:w="1400" w:type="dxa"/>
            <w:tcBorders>
              <w:top w:val="single" w:color="auto" w:sz="8" w:space="0"/>
            </w:tcBorders>
            <w:vAlign w:val="bottom"/>
          </w:tcPr>
          <w:p w14:paraId="29F3E231">
            <w:pPr>
              <w:widowControl/>
              <w:spacing w:line="240" w:lineRule="atLeast"/>
              <w:jc w:val="left"/>
              <w:rPr>
                <w:kern w:val="0"/>
                <w:sz w:val="23"/>
                <w:szCs w:val="23"/>
              </w:rPr>
            </w:pPr>
          </w:p>
        </w:tc>
        <w:tc>
          <w:tcPr>
            <w:tcW w:w="1300" w:type="dxa"/>
            <w:tcBorders>
              <w:top w:val="single" w:color="auto" w:sz="8" w:space="0"/>
              <w:right w:val="single" w:color="auto" w:sz="8" w:space="0"/>
            </w:tcBorders>
            <w:vAlign w:val="bottom"/>
          </w:tcPr>
          <w:p w14:paraId="3FE6F348">
            <w:pPr>
              <w:widowControl/>
              <w:spacing w:line="240" w:lineRule="atLeast"/>
              <w:jc w:val="left"/>
              <w:rPr>
                <w:kern w:val="0"/>
                <w:sz w:val="23"/>
                <w:szCs w:val="23"/>
              </w:rPr>
            </w:pPr>
          </w:p>
        </w:tc>
      </w:tr>
      <w:tr w14:paraId="33F93F53">
        <w:tblPrEx>
          <w:tblCellMar>
            <w:top w:w="0" w:type="dxa"/>
            <w:left w:w="0" w:type="dxa"/>
            <w:bottom w:w="0" w:type="dxa"/>
            <w:right w:w="0" w:type="dxa"/>
          </w:tblCellMar>
        </w:tblPrEx>
        <w:trPr>
          <w:trHeight w:val="51" w:hRule="atLeast"/>
        </w:trPr>
        <w:tc>
          <w:tcPr>
            <w:tcW w:w="1680" w:type="dxa"/>
            <w:tcBorders>
              <w:left w:val="single" w:color="auto" w:sz="8" w:space="0"/>
              <w:bottom w:val="single" w:color="auto" w:sz="8" w:space="0"/>
              <w:right w:val="single" w:color="auto" w:sz="8" w:space="0"/>
            </w:tcBorders>
            <w:vAlign w:val="bottom"/>
          </w:tcPr>
          <w:p w14:paraId="6BFB0456">
            <w:pPr>
              <w:widowControl/>
              <w:spacing w:line="240" w:lineRule="atLeast"/>
              <w:jc w:val="left"/>
              <w:rPr>
                <w:kern w:val="0"/>
                <w:sz w:val="4"/>
                <w:szCs w:val="4"/>
              </w:rPr>
            </w:pPr>
          </w:p>
        </w:tc>
        <w:tc>
          <w:tcPr>
            <w:tcW w:w="1560" w:type="dxa"/>
            <w:tcBorders>
              <w:bottom w:val="single" w:color="auto" w:sz="8" w:space="0"/>
              <w:right w:val="single" w:color="auto" w:sz="8" w:space="0"/>
            </w:tcBorders>
            <w:vAlign w:val="bottom"/>
          </w:tcPr>
          <w:p w14:paraId="0677FACE">
            <w:pPr>
              <w:widowControl/>
              <w:spacing w:line="240" w:lineRule="atLeast"/>
              <w:jc w:val="left"/>
              <w:rPr>
                <w:kern w:val="0"/>
                <w:sz w:val="4"/>
                <w:szCs w:val="4"/>
              </w:rPr>
            </w:pPr>
          </w:p>
        </w:tc>
        <w:tc>
          <w:tcPr>
            <w:tcW w:w="960" w:type="dxa"/>
            <w:tcBorders>
              <w:bottom w:val="single" w:color="auto" w:sz="8" w:space="0"/>
              <w:right w:val="single" w:color="auto" w:sz="8" w:space="0"/>
            </w:tcBorders>
            <w:vAlign w:val="bottom"/>
          </w:tcPr>
          <w:p w14:paraId="1E90F65D">
            <w:pPr>
              <w:widowControl/>
              <w:spacing w:line="240" w:lineRule="atLeast"/>
              <w:jc w:val="left"/>
              <w:rPr>
                <w:kern w:val="0"/>
                <w:sz w:val="4"/>
                <w:szCs w:val="4"/>
              </w:rPr>
            </w:pPr>
          </w:p>
        </w:tc>
        <w:tc>
          <w:tcPr>
            <w:tcW w:w="1320" w:type="dxa"/>
            <w:tcBorders>
              <w:bottom w:val="single" w:color="auto" w:sz="8" w:space="0"/>
              <w:right w:val="single" w:color="auto" w:sz="8" w:space="0"/>
            </w:tcBorders>
            <w:vAlign w:val="bottom"/>
          </w:tcPr>
          <w:p w14:paraId="09251C71">
            <w:pPr>
              <w:widowControl/>
              <w:spacing w:line="240" w:lineRule="atLeast"/>
              <w:jc w:val="left"/>
              <w:rPr>
                <w:kern w:val="0"/>
                <w:sz w:val="4"/>
                <w:szCs w:val="4"/>
              </w:rPr>
            </w:pPr>
          </w:p>
        </w:tc>
        <w:tc>
          <w:tcPr>
            <w:tcW w:w="240" w:type="dxa"/>
            <w:tcBorders>
              <w:bottom w:val="single" w:color="auto" w:sz="8" w:space="0"/>
            </w:tcBorders>
            <w:vAlign w:val="bottom"/>
          </w:tcPr>
          <w:p w14:paraId="21A3AB18">
            <w:pPr>
              <w:widowControl/>
              <w:spacing w:line="240" w:lineRule="atLeast"/>
              <w:jc w:val="left"/>
              <w:rPr>
                <w:kern w:val="0"/>
                <w:sz w:val="4"/>
                <w:szCs w:val="4"/>
              </w:rPr>
            </w:pPr>
          </w:p>
        </w:tc>
        <w:tc>
          <w:tcPr>
            <w:tcW w:w="1220" w:type="dxa"/>
            <w:tcBorders>
              <w:bottom w:val="single" w:color="auto" w:sz="8" w:space="0"/>
              <w:right w:val="single" w:color="auto" w:sz="8" w:space="0"/>
            </w:tcBorders>
            <w:vAlign w:val="bottom"/>
          </w:tcPr>
          <w:p w14:paraId="557EC06F">
            <w:pPr>
              <w:widowControl/>
              <w:spacing w:line="240" w:lineRule="atLeast"/>
              <w:jc w:val="left"/>
              <w:rPr>
                <w:kern w:val="0"/>
                <w:sz w:val="4"/>
                <w:szCs w:val="4"/>
              </w:rPr>
            </w:pPr>
          </w:p>
        </w:tc>
        <w:tc>
          <w:tcPr>
            <w:tcW w:w="1400" w:type="dxa"/>
            <w:tcBorders>
              <w:bottom w:val="single" w:color="auto" w:sz="8" w:space="0"/>
            </w:tcBorders>
            <w:vAlign w:val="bottom"/>
          </w:tcPr>
          <w:p w14:paraId="76B11478">
            <w:pPr>
              <w:widowControl/>
              <w:spacing w:line="240" w:lineRule="atLeast"/>
              <w:jc w:val="left"/>
              <w:rPr>
                <w:kern w:val="0"/>
                <w:sz w:val="4"/>
                <w:szCs w:val="4"/>
              </w:rPr>
            </w:pPr>
          </w:p>
        </w:tc>
        <w:tc>
          <w:tcPr>
            <w:tcW w:w="1300" w:type="dxa"/>
            <w:tcBorders>
              <w:bottom w:val="single" w:color="auto" w:sz="8" w:space="0"/>
              <w:right w:val="single" w:color="auto" w:sz="8" w:space="0"/>
            </w:tcBorders>
            <w:vAlign w:val="bottom"/>
          </w:tcPr>
          <w:p w14:paraId="5E8B3978">
            <w:pPr>
              <w:widowControl/>
              <w:spacing w:line="240" w:lineRule="atLeast"/>
              <w:jc w:val="left"/>
              <w:rPr>
                <w:kern w:val="0"/>
                <w:sz w:val="4"/>
                <w:szCs w:val="4"/>
              </w:rPr>
            </w:pPr>
          </w:p>
        </w:tc>
      </w:tr>
      <w:tr w14:paraId="76210928">
        <w:tblPrEx>
          <w:tblCellMar>
            <w:top w:w="0" w:type="dxa"/>
            <w:left w:w="0" w:type="dxa"/>
            <w:bottom w:w="0" w:type="dxa"/>
            <w:right w:w="0" w:type="dxa"/>
          </w:tblCellMar>
        </w:tblPrEx>
        <w:trPr>
          <w:trHeight w:val="250" w:hRule="atLeast"/>
        </w:trPr>
        <w:tc>
          <w:tcPr>
            <w:tcW w:w="1680" w:type="dxa"/>
            <w:tcBorders>
              <w:left w:val="single" w:color="auto" w:sz="8" w:space="0"/>
              <w:right w:val="single" w:color="auto" w:sz="8" w:space="0"/>
            </w:tcBorders>
            <w:vAlign w:val="bottom"/>
          </w:tcPr>
          <w:p w14:paraId="2713938B">
            <w:pPr>
              <w:widowControl/>
              <w:spacing w:line="239" w:lineRule="exact"/>
              <w:jc w:val="center"/>
              <w:rPr>
                <w:rFonts w:ascii="宋体" w:hAnsi="宋体" w:cs="宋体"/>
                <w:kern w:val="0"/>
                <w:szCs w:val="21"/>
              </w:rPr>
            </w:pPr>
            <w:r>
              <w:rPr>
                <w:rFonts w:hint="eastAsia" w:ascii="宋体" w:hAnsi="宋体" w:cs="宋体"/>
                <w:kern w:val="0"/>
                <w:szCs w:val="21"/>
              </w:rPr>
              <w:t>职务</w:t>
            </w:r>
          </w:p>
        </w:tc>
        <w:tc>
          <w:tcPr>
            <w:tcW w:w="1560" w:type="dxa"/>
            <w:tcBorders>
              <w:right w:val="single" w:color="auto" w:sz="8" w:space="0"/>
            </w:tcBorders>
            <w:vAlign w:val="bottom"/>
          </w:tcPr>
          <w:p w14:paraId="50A78C41">
            <w:pPr>
              <w:widowControl/>
              <w:spacing w:line="240" w:lineRule="atLeast"/>
              <w:jc w:val="left"/>
              <w:rPr>
                <w:kern w:val="0"/>
                <w:szCs w:val="21"/>
              </w:rPr>
            </w:pPr>
          </w:p>
        </w:tc>
        <w:tc>
          <w:tcPr>
            <w:tcW w:w="960" w:type="dxa"/>
            <w:tcBorders>
              <w:right w:val="single" w:color="auto" w:sz="8" w:space="0"/>
            </w:tcBorders>
            <w:vAlign w:val="bottom"/>
          </w:tcPr>
          <w:p w14:paraId="7EDDEE1D">
            <w:pPr>
              <w:widowControl/>
              <w:spacing w:line="239" w:lineRule="exact"/>
              <w:ind w:left="260"/>
              <w:jc w:val="left"/>
              <w:rPr>
                <w:rFonts w:ascii="宋体" w:hAnsi="宋体" w:cs="宋体"/>
                <w:kern w:val="0"/>
                <w:szCs w:val="21"/>
              </w:rPr>
            </w:pPr>
            <w:r>
              <w:rPr>
                <w:rFonts w:hint="eastAsia" w:ascii="宋体" w:hAnsi="宋体" w:cs="宋体"/>
                <w:kern w:val="0"/>
                <w:szCs w:val="21"/>
              </w:rPr>
              <w:t>年龄</w:t>
            </w:r>
          </w:p>
        </w:tc>
        <w:tc>
          <w:tcPr>
            <w:tcW w:w="1320" w:type="dxa"/>
            <w:tcBorders>
              <w:right w:val="single" w:color="auto" w:sz="8" w:space="0"/>
            </w:tcBorders>
            <w:vAlign w:val="bottom"/>
          </w:tcPr>
          <w:p w14:paraId="5E8B846F">
            <w:pPr>
              <w:widowControl/>
              <w:spacing w:line="240" w:lineRule="atLeast"/>
              <w:jc w:val="left"/>
              <w:rPr>
                <w:kern w:val="0"/>
                <w:szCs w:val="21"/>
              </w:rPr>
            </w:pPr>
          </w:p>
        </w:tc>
        <w:tc>
          <w:tcPr>
            <w:tcW w:w="1460" w:type="dxa"/>
            <w:gridSpan w:val="2"/>
            <w:tcBorders>
              <w:right w:val="single" w:color="auto" w:sz="8" w:space="0"/>
            </w:tcBorders>
            <w:vAlign w:val="bottom"/>
          </w:tcPr>
          <w:p w14:paraId="6622C179">
            <w:pPr>
              <w:widowControl/>
              <w:spacing w:line="239" w:lineRule="exact"/>
              <w:jc w:val="center"/>
              <w:rPr>
                <w:rFonts w:ascii="宋体" w:hAnsi="宋体" w:cs="宋体"/>
                <w:kern w:val="0"/>
                <w:szCs w:val="21"/>
              </w:rPr>
            </w:pPr>
            <w:r>
              <w:rPr>
                <w:rFonts w:hint="eastAsia" w:ascii="宋体" w:hAnsi="宋体" w:cs="宋体"/>
                <w:kern w:val="0"/>
                <w:szCs w:val="21"/>
              </w:rPr>
              <w:t>学历及专业</w:t>
            </w:r>
          </w:p>
        </w:tc>
        <w:tc>
          <w:tcPr>
            <w:tcW w:w="1400" w:type="dxa"/>
            <w:vAlign w:val="bottom"/>
          </w:tcPr>
          <w:p w14:paraId="4F221432">
            <w:pPr>
              <w:widowControl/>
              <w:spacing w:line="240" w:lineRule="atLeast"/>
              <w:jc w:val="left"/>
              <w:rPr>
                <w:kern w:val="0"/>
                <w:szCs w:val="21"/>
              </w:rPr>
            </w:pPr>
          </w:p>
        </w:tc>
        <w:tc>
          <w:tcPr>
            <w:tcW w:w="1300" w:type="dxa"/>
            <w:tcBorders>
              <w:right w:val="single" w:color="auto" w:sz="8" w:space="0"/>
            </w:tcBorders>
            <w:vAlign w:val="bottom"/>
          </w:tcPr>
          <w:p w14:paraId="3CAC69F8">
            <w:pPr>
              <w:widowControl/>
              <w:spacing w:line="240" w:lineRule="atLeast"/>
              <w:jc w:val="left"/>
              <w:rPr>
                <w:kern w:val="0"/>
                <w:szCs w:val="21"/>
              </w:rPr>
            </w:pPr>
          </w:p>
        </w:tc>
      </w:tr>
      <w:tr w14:paraId="2B0BD822">
        <w:tblPrEx>
          <w:tblCellMar>
            <w:top w:w="0" w:type="dxa"/>
            <w:left w:w="0" w:type="dxa"/>
            <w:bottom w:w="0" w:type="dxa"/>
            <w:right w:w="0" w:type="dxa"/>
          </w:tblCellMar>
        </w:tblPrEx>
        <w:trPr>
          <w:trHeight w:val="52" w:hRule="atLeast"/>
        </w:trPr>
        <w:tc>
          <w:tcPr>
            <w:tcW w:w="1680" w:type="dxa"/>
            <w:tcBorders>
              <w:left w:val="single" w:color="auto" w:sz="8" w:space="0"/>
              <w:bottom w:val="single" w:color="auto" w:sz="8" w:space="0"/>
              <w:right w:val="single" w:color="auto" w:sz="8" w:space="0"/>
            </w:tcBorders>
            <w:vAlign w:val="bottom"/>
          </w:tcPr>
          <w:p w14:paraId="53255DD6">
            <w:pPr>
              <w:widowControl/>
              <w:spacing w:line="240" w:lineRule="atLeast"/>
              <w:jc w:val="left"/>
              <w:rPr>
                <w:kern w:val="0"/>
                <w:sz w:val="4"/>
                <w:szCs w:val="4"/>
              </w:rPr>
            </w:pPr>
          </w:p>
        </w:tc>
        <w:tc>
          <w:tcPr>
            <w:tcW w:w="1560" w:type="dxa"/>
            <w:tcBorders>
              <w:bottom w:val="single" w:color="auto" w:sz="8" w:space="0"/>
              <w:right w:val="single" w:color="auto" w:sz="8" w:space="0"/>
            </w:tcBorders>
            <w:vAlign w:val="bottom"/>
          </w:tcPr>
          <w:p w14:paraId="27191802">
            <w:pPr>
              <w:widowControl/>
              <w:spacing w:line="240" w:lineRule="atLeast"/>
              <w:jc w:val="left"/>
              <w:rPr>
                <w:kern w:val="0"/>
                <w:sz w:val="4"/>
                <w:szCs w:val="4"/>
              </w:rPr>
            </w:pPr>
          </w:p>
        </w:tc>
        <w:tc>
          <w:tcPr>
            <w:tcW w:w="960" w:type="dxa"/>
            <w:tcBorders>
              <w:bottom w:val="single" w:color="auto" w:sz="8" w:space="0"/>
              <w:right w:val="single" w:color="auto" w:sz="8" w:space="0"/>
            </w:tcBorders>
            <w:vAlign w:val="bottom"/>
          </w:tcPr>
          <w:p w14:paraId="62587D9D">
            <w:pPr>
              <w:widowControl/>
              <w:spacing w:line="240" w:lineRule="atLeast"/>
              <w:jc w:val="left"/>
              <w:rPr>
                <w:kern w:val="0"/>
                <w:sz w:val="4"/>
                <w:szCs w:val="4"/>
              </w:rPr>
            </w:pPr>
          </w:p>
        </w:tc>
        <w:tc>
          <w:tcPr>
            <w:tcW w:w="1320" w:type="dxa"/>
            <w:tcBorders>
              <w:bottom w:val="single" w:color="auto" w:sz="8" w:space="0"/>
              <w:right w:val="single" w:color="auto" w:sz="8" w:space="0"/>
            </w:tcBorders>
            <w:vAlign w:val="bottom"/>
          </w:tcPr>
          <w:p w14:paraId="40C81DAE">
            <w:pPr>
              <w:widowControl/>
              <w:spacing w:line="240" w:lineRule="atLeast"/>
              <w:jc w:val="left"/>
              <w:rPr>
                <w:kern w:val="0"/>
                <w:sz w:val="4"/>
                <w:szCs w:val="4"/>
              </w:rPr>
            </w:pPr>
          </w:p>
        </w:tc>
        <w:tc>
          <w:tcPr>
            <w:tcW w:w="240" w:type="dxa"/>
            <w:tcBorders>
              <w:bottom w:val="single" w:color="auto" w:sz="8" w:space="0"/>
            </w:tcBorders>
            <w:vAlign w:val="bottom"/>
          </w:tcPr>
          <w:p w14:paraId="5B9126FD">
            <w:pPr>
              <w:widowControl/>
              <w:spacing w:line="240" w:lineRule="atLeast"/>
              <w:jc w:val="left"/>
              <w:rPr>
                <w:kern w:val="0"/>
                <w:sz w:val="4"/>
                <w:szCs w:val="4"/>
              </w:rPr>
            </w:pPr>
          </w:p>
        </w:tc>
        <w:tc>
          <w:tcPr>
            <w:tcW w:w="1220" w:type="dxa"/>
            <w:tcBorders>
              <w:bottom w:val="single" w:color="auto" w:sz="8" w:space="0"/>
              <w:right w:val="single" w:color="auto" w:sz="8" w:space="0"/>
            </w:tcBorders>
            <w:vAlign w:val="bottom"/>
          </w:tcPr>
          <w:p w14:paraId="20379BE6">
            <w:pPr>
              <w:widowControl/>
              <w:spacing w:line="240" w:lineRule="atLeast"/>
              <w:jc w:val="left"/>
              <w:rPr>
                <w:kern w:val="0"/>
                <w:sz w:val="4"/>
                <w:szCs w:val="4"/>
              </w:rPr>
            </w:pPr>
          </w:p>
        </w:tc>
        <w:tc>
          <w:tcPr>
            <w:tcW w:w="1400" w:type="dxa"/>
            <w:tcBorders>
              <w:bottom w:val="single" w:color="auto" w:sz="8" w:space="0"/>
            </w:tcBorders>
            <w:vAlign w:val="bottom"/>
          </w:tcPr>
          <w:p w14:paraId="71B7A2B2">
            <w:pPr>
              <w:widowControl/>
              <w:spacing w:line="240" w:lineRule="atLeast"/>
              <w:jc w:val="left"/>
              <w:rPr>
                <w:kern w:val="0"/>
                <w:sz w:val="4"/>
                <w:szCs w:val="4"/>
              </w:rPr>
            </w:pPr>
          </w:p>
        </w:tc>
        <w:tc>
          <w:tcPr>
            <w:tcW w:w="1300" w:type="dxa"/>
            <w:tcBorders>
              <w:bottom w:val="single" w:color="auto" w:sz="8" w:space="0"/>
              <w:right w:val="single" w:color="auto" w:sz="8" w:space="0"/>
            </w:tcBorders>
            <w:vAlign w:val="bottom"/>
          </w:tcPr>
          <w:p w14:paraId="7FC83431">
            <w:pPr>
              <w:widowControl/>
              <w:spacing w:line="240" w:lineRule="atLeast"/>
              <w:jc w:val="left"/>
              <w:rPr>
                <w:kern w:val="0"/>
                <w:sz w:val="4"/>
                <w:szCs w:val="4"/>
              </w:rPr>
            </w:pPr>
          </w:p>
        </w:tc>
      </w:tr>
      <w:tr w14:paraId="51AFEADC">
        <w:tblPrEx>
          <w:tblCellMar>
            <w:top w:w="0" w:type="dxa"/>
            <w:left w:w="0" w:type="dxa"/>
            <w:bottom w:w="0" w:type="dxa"/>
            <w:right w:w="0" w:type="dxa"/>
          </w:tblCellMar>
        </w:tblPrEx>
        <w:trPr>
          <w:trHeight w:val="250" w:hRule="atLeast"/>
        </w:trPr>
        <w:tc>
          <w:tcPr>
            <w:tcW w:w="1680" w:type="dxa"/>
            <w:tcBorders>
              <w:left w:val="single" w:color="auto" w:sz="8" w:space="0"/>
              <w:right w:val="single" w:color="auto" w:sz="8" w:space="0"/>
            </w:tcBorders>
            <w:vAlign w:val="bottom"/>
          </w:tcPr>
          <w:p w14:paraId="12CCB577">
            <w:pPr>
              <w:widowControl/>
              <w:spacing w:line="239" w:lineRule="exact"/>
              <w:jc w:val="center"/>
              <w:rPr>
                <w:rFonts w:ascii="宋体" w:hAnsi="宋体" w:cs="宋体"/>
                <w:kern w:val="0"/>
                <w:szCs w:val="21"/>
              </w:rPr>
            </w:pPr>
            <w:r>
              <w:rPr>
                <w:rFonts w:hint="eastAsia" w:ascii="宋体" w:hAnsi="宋体" w:cs="宋体"/>
                <w:kern w:val="0"/>
                <w:szCs w:val="21"/>
              </w:rPr>
              <w:t>监理注册证号</w:t>
            </w:r>
          </w:p>
        </w:tc>
        <w:tc>
          <w:tcPr>
            <w:tcW w:w="1560" w:type="dxa"/>
            <w:vAlign w:val="bottom"/>
          </w:tcPr>
          <w:p w14:paraId="4C279415">
            <w:pPr>
              <w:widowControl/>
              <w:spacing w:line="240" w:lineRule="atLeast"/>
              <w:jc w:val="left"/>
              <w:rPr>
                <w:kern w:val="0"/>
                <w:szCs w:val="21"/>
              </w:rPr>
            </w:pPr>
          </w:p>
        </w:tc>
        <w:tc>
          <w:tcPr>
            <w:tcW w:w="960" w:type="dxa"/>
            <w:tcBorders>
              <w:right w:val="single" w:color="auto" w:sz="8" w:space="0"/>
            </w:tcBorders>
            <w:vAlign w:val="bottom"/>
          </w:tcPr>
          <w:p w14:paraId="3AB83269">
            <w:pPr>
              <w:widowControl/>
              <w:spacing w:line="240" w:lineRule="atLeast"/>
              <w:jc w:val="left"/>
              <w:rPr>
                <w:kern w:val="0"/>
                <w:szCs w:val="21"/>
              </w:rPr>
            </w:pPr>
          </w:p>
        </w:tc>
        <w:tc>
          <w:tcPr>
            <w:tcW w:w="2780" w:type="dxa"/>
            <w:gridSpan w:val="3"/>
            <w:tcBorders>
              <w:right w:val="single" w:color="auto" w:sz="8" w:space="0"/>
            </w:tcBorders>
            <w:vAlign w:val="bottom"/>
          </w:tcPr>
          <w:p w14:paraId="6B2AC071">
            <w:pPr>
              <w:widowControl/>
              <w:spacing w:line="239" w:lineRule="exact"/>
              <w:jc w:val="center"/>
              <w:rPr>
                <w:rFonts w:ascii="宋体" w:hAnsi="宋体" w:cs="宋体"/>
                <w:kern w:val="0"/>
                <w:szCs w:val="21"/>
              </w:rPr>
            </w:pPr>
            <w:r>
              <w:rPr>
                <w:rFonts w:hint="eastAsia" w:ascii="宋体" w:hAnsi="宋体" w:cs="宋体"/>
                <w:kern w:val="0"/>
                <w:szCs w:val="21"/>
              </w:rPr>
              <w:t>从事工程施工监理年限</w:t>
            </w:r>
          </w:p>
        </w:tc>
        <w:tc>
          <w:tcPr>
            <w:tcW w:w="1400" w:type="dxa"/>
            <w:vAlign w:val="bottom"/>
          </w:tcPr>
          <w:p w14:paraId="6174B761">
            <w:pPr>
              <w:widowControl/>
              <w:spacing w:line="240" w:lineRule="atLeast"/>
              <w:jc w:val="left"/>
              <w:rPr>
                <w:kern w:val="0"/>
                <w:szCs w:val="21"/>
              </w:rPr>
            </w:pPr>
          </w:p>
        </w:tc>
        <w:tc>
          <w:tcPr>
            <w:tcW w:w="1300" w:type="dxa"/>
            <w:tcBorders>
              <w:right w:val="single" w:color="auto" w:sz="8" w:space="0"/>
            </w:tcBorders>
            <w:vAlign w:val="bottom"/>
          </w:tcPr>
          <w:p w14:paraId="6F2084EE">
            <w:pPr>
              <w:widowControl/>
              <w:spacing w:line="240" w:lineRule="atLeast"/>
              <w:jc w:val="left"/>
              <w:rPr>
                <w:kern w:val="0"/>
                <w:szCs w:val="21"/>
              </w:rPr>
            </w:pPr>
          </w:p>
        </w:tc>
      </w:tr>
      <w:tr w14:paraId="17004CF7">
        <w:tblPrEx>
          <w:tblCellMar>
            <w:top w:w="0" w:type="dxa"/>
            <w:left w:w="0" w:type="dxa"/>
            <w:bottom w:w="0" w:type="dxa"/>
            <w:right w:w="0" w:type="dxa"/>
          </w:tblCellMar>
        </w:tblPrEx>
        <w:trPr>
          <w:trHeight w:val="51" w:hRule="atLeast"/>
        </w:trPr>
        <w:tc>
          <w:tcPr>
            <w:tcW w:w="1680" w:type="dxa"/>
            <w:tcBorders>
              <w:left w:val="single" w:color="auto" w:sz="8" w:space="0"/>
              <w:bottom w:val="single" w:color="auto" w:sz="8" w:space="0"/>
              <w:right w:val="single" w:color="auto" w:sz="8" w:space="0"/>
            </w:tcBorders>
            <w:vAlign w:val="bottom"/>
          </w:tcPr>
          <w:p w14:paraId="39341D3F">
            <w:pPr>
              <w:widowControl/>
              <w:spacing w:line="240" w:lineRule="atLeast"/>
              <w:jc w:val="left"/>
              <w:rPr>
                <w:kern w:val="0"/>
                <w:sz w:val="4"/>
                <w:szCs w:val="4"/>
              </w:rPr>
            </w:pPr>
          </w:p>
        </w:tc>
        <w:tc>
          <w:tcPr>
            <w:tcW w:w="1560" w:type="dxa"/>
            <w:tcBorders>
              <w:bottom w:val="single" w:color="auto" w:sz="8" w:space="0"/>
            </w:tcBorders>
            <w:vAlign w:val="bottom"/>
          </w:tcPr>
          <w:p w14:paraId="4CDDAA01">
            <w:pPr>
              <w:widowControl/>
              <w:spacing w:line="240" w:lineRule="atLeast"/>
              <w:jc w:val="left"/>
              <w:rPr>
                <w:kern w:val="0"/>
                <w:sz w:val="4"/>
                <w:szCs w:val="4"/>
              </w:rPr>
            </w:pPr>
          </w:p>
        </w:tc>
        <w:tc>
          <w:tcPr>
            <w:tcW w:w="960" w:type="dxa"/>
            <w:tcBorders>
              <w:bottom w:val="single" w:color="auto" w:sz="8" w:space="0"/>
              <w:right w:val="single" w:color="auto" w:sz="8" w:space="0"/>
            </w:tcBorders>
            <w:vAlign w:val="bottom"/>
          </w:tcPr>
          <w:p w14:paraId="0A80F244">
            <w:pPr>
              <w:widowControl/>
              <w:spacing w:line="240" w:lineRule="atLeast"/>
              <w:jc w:val="left"/>
              <w:rPr>
                <w:kern w:val="0"/>
                <w:sz w:val="4"/>
                <w:szCs w:val="4"/>
              </w:rPr>
            </w:pPr>
          </w:p>
        </w:tc>
        <w:tc>
          <w:tcPr>
            <w:tcW w:w="1560" w:type="dxa"/>
            <w:gridSpan w:val="2"/>
            <w:tcBorders>
              <w:bottom w:val="single" w:color="auto" w:sz="8" w:space="0"/>
            </w:tcBorders>
            <w:vAlign w:val="bottom"/>
          </w:tcPr>
          <w:p w14:paraId="3B14B9F0">
            <w:pPr>
              <w:widowControl/>
              <w:spacing w:line="240" w:lineRule="atLeast"/>
              <w:jc w:val="left"/>
              <w:rPr>
                <w:kern w:val="0"/>
                <w:sz w:val="4"/>
                <w:szCs w:val="4"/>
              </w:rPr>
            </w:pPr>
          </w:p>
        </w:tc>
        <w:tc>
          <w:tcPr>
            <w:tcW w:w="1220" w:type="dxa"/>
            <w:tcBorders>
              <w:bottom w:val="single" w:color="auto" w:sz="8" w:space="0"/>
              <w:right w:val="single" w:color="auto" w:sz="8" w:space="0"/>
            </w:tcBorders>
            <w:vAlign w:val="bottom"/>
          </w:tcPr>
          <w:p w14:paraId="0F839B99">
            <w:pPr>
              <w:widowControl/>
              <w:spacing w:line="240" w:lineRule="atLeast"/>
              <w:jc w:val="left"/>
              <w:rPr>
                <w:kern w:val="0"/>
                <w:sz w:val="4"/>
                <w:szCs w:val="4"/>
              </w:rPr>
            </w:pPr>
          </w:p>
        </w:tc>
        <w:tc>
          <w:tcPr>
            <w:tcW w:w="1400" w:type="dxa"/>
            <w:tcBorders>
              <w:bottom w:val="single" w:color="auto" w:sz="8" w:space="0"/>
            </w:tcBorders>
            <w:vAlign w:val="bottom"/>
          </w:tcPr>
          <w:p w14:paraId="65F37B82">
            <w:pPr>
              <w:widowControl/>
              <w:spacing w:line="240" w:lineRule="atLeast"/>
              <w:jc w:val="left"/>
              <w:rPr>
                <w:kern w:val="0"/>
                <w:sz w:val="4"/>
                <w:szCs w:val="4"/>
              </w:rPr>
            </w:pPr>
          </w:p>
        </w:tc>
        <w:tc>
          <w:tcPr>
            <w:tcW w:w="1300" w:type="dxa"/>
            <w:tcBorders>
              <w:bottom w:val="single" w:color="auto" w:sz="8" w:space="0"/>
              <w:right w:val="single" w:color="auto" w:sz="8" w:space="0"/>
            </w:tcBorders>
            <w:vAlign w:val="bottom"/>
          </w:tcPr>
          <w:p w14:paraId="2060111D">
            <w:pPr>
              <w:widowControl/>
              <w:spacing w:line="240" w:lineRule="atLeast"/>
              <w:jc w:val="left"/>
              <w:rPr>
                <w:kern w:val="0"/>
                <w:sz w:val="4"/>
                <w:szCs w:val="4"/>
              </w:rPr>
            </w:pPr>
          </w:p>
        </w:tc>
      </w:tr>
      <w:tr w14:paraId="6A7CB706">
        <w:tblPrEx>
          <w:tblCellMar>
            <w:top w:w="0" w:type="dxa"/>
            <w:left w:w="0" w:type="dxa"/>
            <w:bottom w:w="0" w:type="dxa"/>
            <w:right w:w="0" w:type="dxa"/>
          </w:tblCellMar>
        </w:tblPrEx>
        <w:trPr>
          <w:trHeight w:val="250" w:hRule="atLeast"/>
        </w:trPr>
        <w:tc>
          <w:tcPr>
            <w:tcW w:w="1680" w:type="dxa"/>
            <w:tcBorders>
              <w:left w:val="single" w:color="auto" w:sz="8" w:space="0"/>
              <w:right w:val="single" w:color="auto" w:sz="8" w:space="0"/>
            </w:tcBorders>
            <w:vAlign w:val="bottom"/>
          </w:tcPr>
          <w:p w14:paraId="482454C9">
            <w:pPr>
              <w:widowControl/>
              <w:spacing w:line="240" w:lineRule="atLeast"/>
              <w:jc w:val="center"/>
              <w:rPr>
                <w:rFonts w:ascii="宋体" w:hAnsi="宋体" w:cs="宋体"/>
                <w:kern w:val="0"/>
                <w:szCs w:val="21"/>
              </w:rPr>
            </w:pPr>
            <w:r>
              <w:rPr>
                <w:rFonts w:hint="eastAsia" w:ascii="宋体" w:hAnsi="宋体" w:cs="宋体"/>
                <w:kern w:val="0"/>
                <w:szCs w:val="21"/>
              </w:rPr>
              <w:t>专业</w:t>
            </w:r>
          </w:p>
        </w:tc>
        <w:tc>
          <w:tcPr>
            <w:tcW w:w="1560" w:type="dxa"/>
            <w:vAlign w:val="bottom"/>
          </w:tcPr>
          <w:p w14:paraId="50C6991F">
            <w:pPr>
              <w:widowControl/>
              <w:spacing w:line="240" w:lineRule="atLeast"/>
              <w:jc w:val="left"/>
              <w:rPr>
                <w:kern w:val="0"/>
                <w:szCs w:val="21"/>
              </w:rPr>
            </w:pPr>
          </w:p>
        </w:tc>
        <w:tc>
          <w:tcPr>
            <w:tcW w:w="960" w:type="dxa"/>
            <w:tcBorders>
              <w:right w:val="single" w:color="auto" w:sz="8" w:space="0"/>
            </w:tcBorders>
            <w:vAlign w:val="bottom"/>
          </w:tcPr>
          <w:p w14:paraId="1D442942">
            <w:pPr>
              <w:widowControl/>
              <w:spacing w:line="240" w:lineRule="atLeast"/>
              <w:jc w:val="left"/>
              <w:rPr>
                <w:kern w:val="0"/>
                <w:szCs w:val="21"/>
              </w:rPr>
            </w:pPr>
          </w:p>
        </w:tc>
        <w:tc>
          <w:tcPr>
            <w:tcW w:w="2780" w:type="dxa"/>
            <w:gridSpan w:val="3"/>
            <w:tcBorders>
              <w:right w:val="single" w:color="auto" w:sz="8" w:space="0"/>
            </w:tcBorders>
            <w:vAlign w:val="bottom"/>
          </w:tcPr>
          <w:p w14:paraId="27363900">
            <w:pPr>
              <w:widowControl/>
              <w:spacing w:line="240" w:lineRule="atLeast"/>
              <w:jc w:val="center"/>
              <w:rPr>
                <w:rFonts w:ascii="宋体" w:hAnsi="宋体" w:cs="宋体"/>
                <w:kern w:val="0"/>
                <w:szCs w:val="21"/>
              </w:rPr>
            </w:pPr>
            <w:r>
              <w:rPr>
                <w:rFonts w:hint="eastAsia" w:ascii="宋体" w:hAnsi="宋体" w:cs="宋体"/>
                <w:kern w:val="0"/>
                <w:szCs w:val="21"/>
              </w:rPr>
              <w:t>在本项目中拟任职务</w:t>
            </w:r>
          </w:p>
        </w:tc>
        <w:tc>
          <w:tcPr>
            <w:tcW w:w="1400" w:type="dxa"/>
            <w:vAlign w:val="bottom"/>
          </w:tcPr>
          <w:p w14:paraId="13D2F0EF">
            <w:pPr>
              <w:widowControl/>
              <w:spacing w:line="240" w:lineRule="atLeast"/>
              <w:jc w:val="left"/>
              <w:rPr>
                <w:kern w:val="0"/>
                <w:szCs w:val="21"/>
              </w:rPr>
            </w:pPr>
          </w:p>
        </w:tc>
        <w:tc>
          <w:tcPr>
            <w:tcW w:w="1300" w:type="dxa"/>
            <w:tcBorders>
              <w:right w:val="single" w:color="auto" w:sz="8" w:space="0"/>
            </w:tcBorders>
            <w:vAlign w:val="bottom"/>
          </w:tcPr>
          <w:p w14:paraId="3A8CA022">
            <w:pPr>
              <w:widowControl/>
              <w:spacing w:line="240" w:lineRule="atLeast"/>
              <w:jc w:val="left"/>
              <w:rPr>
                <w:kern w:val="0"/>
                <w:szCs w:val="21"/>
              </w:rPr>
            </w:pPr>
          </w:p>
        </w:tc>
      </w:tr>
      <w:tr w14:paraId="5C98AF22">
        <w:tblPrEx>
          <w:tblCellMar>
            <w:top w:w="0" w:type="dxa"/>
            <w:left w:w="0" w:type="dxa"/>
            <w:bottom w:w="0" w:type="dxa"/>
            <w:right w:w="0" w:type="dxa"/>
          </w:tblCellMar>
        </w:tblPrEx>
        <w:trPr>
          <w:trHeight w:val="51" w:hRule="atLeast"/>
        </w:trPr>
        <w:tc>
          <w:tcPr>
            <w:tcW w:w="1680" w:type="dxa"/>
            <w:tcBorders>
              <w:left w:val="single" w:color="auto" w:sz="8" w:space="0"/>
              <w:bottom w:val="single" w:color="auto" w:sz="8" w:space="0"/>
              <w:right w:val="single" w:color="auto" w:sz="8" w:space="0"/>
            </w:tcBorders>
            <w:vAlign w:val="bottom"/>
          </w:tcPr>
          <w:p w14:paraId="33E2C95C">
            <w:pPr>
              <w:widowControl/>
              <w:spacing w:line="240" w:lineRule="atLeast"/>
              <w:jc w:val="left"/>
              <w:rPr>
                <w:kern w:val="0"/>
                <w:sz w:val="4"/>
                <w:szCs w:val="4"/>
              </w:rPr>
            </w:pPr>
          </w:p>
        </w:tc>
        <w:tc>
          <w:tcPr>
            <w:tcW w:w="1560" w:type="dxa"/>
            <w:tcBorders>
              <w:bottom w:val="single" w:color="auto" w:sz="8" w:space="0"/>
            </w:tcBorders>
            <w:vAlign w:val="bottom"/>
          </w:tcPr>
          <w:p w14:paraId="35DEDE7C">
            <w:pPr>
              <w:widowControl/>
              <w:spacing w:line="240" w:lineRule="atLeast"/>
              <w:jc w:val="left"/>
              <w:rPr>
                <w:kern w:val="0"/>
                <w:sz w:val="4"/>
                <w:szCs w:val="4"/>
              </w:rPr>
            </w:pPr>
          </w:p>
        </w:tc>
        <w:tc>
          <w:tcPr>
            <w:tcW w:w="960" w:type="dxa"/>
            <w:tcBorders>
              <w:bottom w:val="single" w:color="auto" w:sz="8" w:space="0"/>
              <w:right w:val="single" w:color="auto" w:sz="8" w:space="0"/>
            </w:tcBorders>
            <w:vAlign w:val="bottom"/>
          </w:tcPr>
          <w:p w14:paraId="6C55B9BF">
            <w:pPr>
              <w:widowControl/>
              <w:spacing w:line="240" w:lineRule="atLeast"/>
              <w:jc w:val="left"/>
              <w:rPr>
                <w:kern w:val="0"/>
                <w:sz w:val="4"/>
                <w:szCs w:val="4"/>
              </w:rPr>
            </w:pPr>
          </w:p>
        </w:tc>
        <w:tc>
          <w:tcPr>
            <w:tcW w:w="1320" w:type="dxa"/>
            <w:tcBorders>
              <w:bottom w:val="single" w:color="auto" w:sz="8" w:space="0"/>
            </w:tcBorders>
            <w:vAlign w:val="bottom"/>
          </w:tcPr>
          <w:p w14:paraId="0CDB9040">
            <w:pPr>
              <w:widowControl/>
              <w:spacing w:line="240" w:lineRule="atLeast"/>
              <w:jc w:val="left"/>
              <w:rPr>
                <w:kern w:val="0"/>
                <w:sz w:val="4"/>
                <w:szCs w:val="4"/>
              </w:rPr>
            </w:pPr>
          </w:p>
        </w:tc>
        <w:tc>
          <w:tcPr>
            <w:tcW w:w="240" w:type="dxa"/>
            <w:tcBorders>
              <w:bottom w:val="single" w:color="auto" w:sz="8" w:space="0"/>
            </w:tcBorders>
            <w:vAlign w:val="bottom"/>
          </w:tcPr>
          <w:p w14:paraId="12DA4012">
            <w:pPr>
              <w:widowControl/>
              <w:spacing w:line="240" w:lineRule="atLeast"/>
              <w:jc w:val="left"/>
              <w:rPr>
                <w:kern w:val="0"/>
                <w:sz w:val="4"/>
                <w:szCs w:val="4"/>
              </w:rPr>
            </w:pPr>
          </w:p>
        </w:tc>
        <w:tc>
          <w:tcPr>
            <w:tcW w:w="1220" w:type="dxa"/>
            <w:tcBorders>
              <w:bottom w:val="single" w:color="auto" w:sz="8" w:space="0"/>
              <w:right w:val="single" w:color="auto" w:sz="8" w:space="0"/>
            </w:tcBorders>
            <w:vAlign w:val="bottom"/>
          </w:tcPr>
          <w:p w14:paraId="35B147D4">
            <w:pPr>
              <w:widowControl/>
              <w:spacing w:line="240" w:lineRule="atLeast"/>
              <w:jc w:val="left"/>
              <w:rPr>
                <w:kern w:val="0"/>
                <w:sz w:val="4"/>
                <w:szCs w:val="4"/>
              </w:rPr>
            </w:pPr>
          </w:p>
        </w:tc>
        <w:tc>
          <w:tcPr>
            <w:tcW w:w="1400" w:type="dxa"/>
            <w:tcBorders>
              <w:bottom w:val="single" w:color="auto" w:sz="8" w:space="0"/>
            </w:tcBorders>
            <w:vAlign w:val="bottom"/>
          </w:tcPr>
          <w:p w14:paraId="60CB847B">
            <w:pPr>
              <w:widowControl/>
              <w:spacing w:line="240" w:lineRule="atLeast"/>
              <w:jc w:val="left"/>
              <w:rPr>
                <w:kern w:val="0"/>
                <w:sz w:val="4"/>
                <w:szCs w:val="4"/>
              </w:rPr>
            </w:pPr>
          </w:p>
        </w:tc>
        <w:tc>
          <w:tcPr>
            <w:tcW w:w="1300" w:type="dxa"/>
            <w:tcBorders>
              <w:bottom w:val="single" w:color="auto" w:sz="8" w:space="0"/>
              <w:right w:val="single" w:color="auto" w:sz="8" w:space="0"/>
            </w:tcBorders>
            <w:vAlign w:val="bottom"/>
          </w:tcPr>
          <w:p w14:paraId="76769D6C">
            <w:pPr>
              <w:widowControl/>
              <w:spacing w:line="240" w:lineRule="atLeast"/>
              <w:jc w:val="left"/>
              <w:rPr>
                <w:kern w:val="0"/>
                <w:sz w:val="4"/>
                <w:szCs w:val="4"/>
              </w:rPr>
            </w:pPr>
          </w:p>
        </w:tc>
      </w:tr>
      <w:tr w14:paraId="61097C91">
        <w:tblPrEx>
          <w:tblCellMar>
            <w:top w:w="0" w:type="dxa"/>
            <w:left w:w="0" w:type="dxa"/>
            <w:bottom w:w="0" w:type="dxa"/>
            <w:right w:w="0" w:type="dxa"/>
          </w:tblCellMar>
        </w:tblPrEx>
        <w:trPr>
          <w:trHeight w:val="253" w:hRule="atLeast"/>
        </w:trPr>
        <w:tc>
          <w:tcPr>
            <w:tcW w:w="1680" w:type="dxa"/>
            <w:tcBorders>
              <w:left w:val="single" w:color="auto" w:sz="8" w:space="0"/>
            </w:tcBorders>
            <w:vAlign w:val="bottom"/>
          </w:tcPr>
          <w:p w14:paraId="2094DE11">
            <w:pPr>
              <w:widowControl/>
              <w:spacing w:line="240" w:lineRule="atLeast"/>
              <w:jc w:val="left"/>
              <w:rPr>
                <w:kern w:val="0"/>
                <w:szCs w:val="21"/>
              </w:rPr>
            </w:pPr>
          </w:p>
        </w:tc>
        <w:tc>
          <w:tcPr>
            <w:tcW w:w="1560" w:type="dxa"/>
            <w:vAlign w:val="bottom"/>
          </w:tcPr>
          <w:p w14:paraId="53D93B68">
            <w:pPr>
              <w:widowControl/>
              <w:spacing w:line="240" w:lineRule="atLeast"/>
              <w:jc w:val="left"/>
              <w:rPr>
                <w:kern w:val="0"/>
                <w:szCs w:val="21"/>
              </w:rPr>
            </w:pPr>
          </w:p>
        </w:tc>
        <w:tc>
          <w:tcPr>
            <w:tcW w:w="3740" w:type="dxa"/>
            <w:gridSpan w:val="4"/>
            <w:vAlign w:val="bottom"/>
          </w:tcPr>
          <w:p w14:paraId="5A4357C6">
            <w:pPr>
              <w:widowControl/>
              <w:spacing w:line="240" w:lineRule="atLeast"/>
              <w:ind w:left="660"/>
              <w:jc w:val="left"/>
              <w:rPr>
                <w:rFonts w:ascii="宋体" w:hAnsi="宋体" w:cs="宋体"/>
                <w:kern w:val="0"/>
                <w:szCs w:val="21"/>
              </w:rPr>
            </w:pPr>
            <w:r>
              <w:rPr>
                <w:rFonts w:hint="eastAsia" w:ascii="宋体" w:hAnsi="宋体" w:cs="宋体"/>
                <w:kern w:val="0"/>
                <w:szCs w:val="21"/>
              </w:rPr>
              <w:t>已完成监理项目情况</w:t>
            </w:r>
          </w:p>
        </w:tc>
        <w:tc>
          <w:tcPr>
            <w:tcW w:w="1400" w:type="dxa"/>
            <w:vAlign w:val="bottom"/>
          </w:tcPr>
          <w:p w14:paraId="1B8D163B">
            <w:pPr>
              <w:widowControl/>
              <w:spacing w:line="240" w:lineRule="atLeast"/>
              <w:jc w:val="left"/>
              <w:rPr>
                <w:kern w:val="0"/>
                <w:szCs w:val="21"/>
              </w:rPr>
            </w:pPr>
          </w:p>
        </w:tc>
        <w:tc>
          <w:tcPr>
            <w:tcW w:w="1300" w:type="dxa"/>
            <w:tcBorders>
              <w:right w:val="single" w:color="auto" w:sz="8" w:space="0"/>
            </w:tcBorders>
            <w:vAlign w:val="bottom"/>
          </w:tcPr>
          <w:p w14:paraId="14E911FD">
            <w:pPr>
              <w:widowControl/>
              <w:spacing w:line="240" w:lineRule="atLeast"/>
              <w:jc w:val="left"/>
              <w:rPr>
                <w:kern w:val="0"/>
                <w:szCs w:val="21"/>
              </w:rPr>
            </w:pPr>
          </w:p>
        </w:tc>
      </w:tr>
      <w:tr w14:paraId="08EE251C">
        <w:tblPrEx>
          <w:tblCellMar>
            <w:top w:w="0" w:type="dxa"/>
            <w:left w:w="0" w:type="dxa"/>
            <w:bottom w:w="0" w:type="dxa"/>
            <w:right w:w="0" w:type="dxa"/>
          </w:tblCellMar>
        </w:tblPrEx>
        <w:trPr>
          <w:trHeight w:val="51" w:hRule="atLeast"/>
        </w:trPr>
        <w:tc>
          <w:tcPr>
            <w:tcW w:w="1680" w:type="dxa"/>
            <w:tcBorders>
              <w:left w:val="single" w:color="auto" w:sz="8" w:space="0"/>
              <w:bottom w:val="single" w:color="auto" w:sz="8" w:space="0"/>
            </w:tcBorders>
            <w:vAlign w:val="bottom"/>
          </w:tcPr>
          <w:p w14:paraId="04BB64F7">
            <w:pPr>
              <w:widowControl/>
              <w:spacing w:line="240" w:lineRule="atLeast"/>
              <w:jc w:val="left"/>
              <w:rPr>
                <w:kern w:val="0"/>
                <w:sz w:val="4"/>
                <w:szCs w:val="4"/>
              </w:rPr>
            </w:pPr>
          </w:p>
        </w:tc>
        <w:tc>
          <w:tcPr>
            <w:tcW w:w="1560" w:type="dxa"/>
            <w:tcBorders>
              <w:bottom w:val="single" w:color="auto" w:sz="8" w:space="0"/>
            </w:tcBorders>
            <w:vAlign w:val="bottom"/>
          </w:tcPr>
          <w:p w14:paraId="00C0E804">
            <w:pPr>
              <w:widowControl/>
              <w:spacing w:line="240" w:lineRule="atLeast"/>
              <w:jc w:val="left"/>
              <w:rPr>
                <w:kern w:val="0"/>
                <w:sz w:val="4"/>
                <w:szCs w:val="4"/>
              </w:rPr>
            </w:pPr>
          </w:p>
        </w:tc>
        <w:tc>
          <w:tcPr>
            <w:tcW w:w="960" w:type="dxa"/>
            <w:tcBorders>
              <w:bottom w:val="single" w:color="auto" w:sz="8" w:space="0"/>
            </w:tcBorders>
            <w:vAlign w:val="bottom"/>
          </w:tcPr>
          <w:p w14:paraId="7EA63BCE">
            <w:pPr>
              <w:widowControl/>
              <w:spacing w:line="240" w:lineRule="atLeast"/>
              <w:jc w:val="left"/>
              <w:rPr>
                <w:kern w:val="0"/>
                <w:sz w:val="4"/>
                <w:szCs w:val="4"/>
              </w:rPr>
            </w:pPr>
          </w:p>
        </w:tc>
        <w:tc>
          <w:tcPr>
            <w:tcW w:w="1320" w:type="dxa"/>
            <w:tcBorders>
              <w:bottom w:val="single" w:color="auto" w:sz="8" w:space="0"/>
            </w:tcBorders>
            <w:vAlign w:val="bottom"/>
          </w:tcPr>
          <w:p w14:paraId="1DB3404B">
            <w:pPr>
              <w:widowControl/>
              <w:spacing w:line="240" w:lineRule="atLeast"/>
              <w:jc w:val="left"/>
              <w:rPr>
                <w:kern w:val="0"/>
                <w:sz w:val="4"/>
                <w:szCs w:val="4"/>
              </w:rPr>
            </w:pPr>
          </w:p>
        </w:tc>
        <w:tc>
          <w:tcPr>
            <w:tcW w:w="240" w:type="dxa"/>
            <w:tcBorders>
              <w:bottom w:val="single" w:color="auto" w:sz="8" w:space="0"/>
            </w:tcBorders>
            <w:vAlign w:val="bottom"/>
          </w:tcPr>
          <w:p w14:paraId="0147534E">
            <w:pPr>
              <w:widowControl/>
              <w:spacing w:line="240" w:lineRule="atLeast"/>
              <w:jc w:val="left"/>
              <w:rPr>
                <w:kern w:val="0"/>
                <w:sz w:val="4"/>
                <w:szCs w:val="4"/>
              </w:rPr>
            </w:pPr>
          </w:p>
        </w:tc>
        <w:tc>
          <w:tcPr>
            <w:tcW w:w="1220" w:type="dxa"/>
            <w:tcBorders>
              <w:bottom w:val="single" w:color="auto" w:sz="8" w:space="0"/>
            </w:tcBorders>
            <w:vAlign w:val="bottom"/>
          </w:tcPr>
          <w:p w14:paraId="6FBD32B8">
            <w:pPr>
              <w:widowControl/>
              <w:spacing w:line="240" w:lineRule="atLeast"/>
              <w:jc w:val="left"/>
              <w:rPr>
                <w:kern w:val="0"/>
                <w:sz w:val="4"/>
                <w:szCs w:val="4"/>
              </w:rPr>
            </w:pPr>
          </w:p>
        </w:tc>
        <w:tc>
          <w:tcPr>
            <w:tcW w:w="1400" w:type="dxa"/>
            <w:tcBorders>
              <w:bottom w:val="single" w:color="auto" w:sz="8" w:space="0"/>
            </w:tcBorders>
            <w:vAlign w:val="bottom"/>
          </w:tcPr>
          <w:p w14:paraId="33269A59">
            <w:pPr>
              <w:widowControl/>
              <w:spacing w:line="240" w:lineRule="atLeast"/>
              <w:jc w:val="left"/>
              <w:rPr>
                <w:kern w:val="0"/>
                <w:sz w:val="4"/>
                <w:szCs w:val="4"/>
              </w:rPr>
            </w:pPr>
          </w:p>
        </w:tc>
        <w:tc>
          <w:tcPr>
            <w:tcW w:w="1300" w:type="dxa"/>
            <w:tcBorders>
              <w:bottom w:val="single" w:color="auto" w:sz="8" w:space="0"/>
              <w:right w:val="single" w:color="auto" w:sz="8" w:space="0"/>
            </w:tcBorders>
            <w:vAlign w:val="bottom"/>
          </w:tcPr>
          <w:p w14:paraId="4A51EB9E">
            <w:pPr>
              <w:widowControl/>
              <w:spacing w:line="240" w:lineRule="atLeast"/>
              <w:jc w:val="left"/>
              <w:rPr>
                <w:kern w:val="0"/>
                <w:sz w:val="4"/>
                <w:szCs w:val="4"/>
              </w:rPr>
            </w:pPr>
          </w:p>
        </w:tc>
      </w:tr>
      <w:tr w14:paraId="06D39EDE">
        <w:tblPrEx>
          <w:tblCellMar>
            <w:top w:w="0" w:type="dxa"/>
            <w:left w:w="0" w:type="dxa"/>
            <w:bottom w:w="0" w:type="dxa"/>
            <w:right w:w="0" w:type="dxa"/>
          </w:tblCellMar>
        </w:tblPrEx>
        <w:trPr>
          <w:trHeight w:val="250" w:hRule="atLeast"/>
        </w:trPr>
        <w:tc>
          <w:tcPr>
            <w:tcW w:w="1680" w:type="dxa"/>
            <w:vMerge w:val="restart"/>
            <w:tcBorders>
              <w:left w:val="single" w:color="auto" w:sz="8" w:space="0"/>
              <w:right w:val="single" w:color="auto" w:sz="8" w:space="0"/>
            </w:tcBorders>
            <w:vAlign w:val="bottom"/>
          </w:tcPr>
          <w:p w14:paraId="558D1E08">
            <w:pPr>
              <w:widowControl/>
              <w:spacing w:line="240" w:lineRule="atLeast"/>
              <w:jc w:val="center"/>
              <w:rPr>
                <w:rFonts w:ascii="宋体" w:hAnsi="宋体" w:cs="宋体"/>
                <w:kern w:val="0"/>
                <w:szCs w:val="21"/>
              </w:rPr>
            </w:pPr>
            <w:r>
              <w:rPr>
                <w:rFonts w:hint="eastAsia" w:ascii="宋体" w:hAnsi="宋体" w:cs="宋体"/>
                <w:kern w:val="0"/>
                <w:szCs w:val="21"/>
              </w:rPr>
              <w:t>建设单位</w:t>
            </w:r>
          </w:p>
        </w:tc>
        <w:tc>
          <w:tcPr>
            <w:tcW w:w="1560" w:type="dxa"/>
            <w:vMerge w:val="restart"/>
            <w:tcBorders>
              <w:right w:val="single" w:color="auto" w:sz="8" w:space="0"/>
            </w:tcBorders>
            <w:vAlign w:val="bottom"/>
          </w:tcPr>
          <w:p w14:paraId="2852CCAE">
            <w:pPr>
              <w:widowControl/>
              <w:spacing w:line="240" w:lineRule="atLeast"/>
              <w:ind w:left="340"/>
              <w:jc w:val="left"/>
              <w:rPr>
                <w:rFonts w:ascii="宋体" w:hAnsi="宋体" w:cs="宋体"/>
                <w:kern w:val="0"/>
                <w:szCs w:val="21"/>
              </w:rPr>
            </w:pPr>
            <w:r>
              <w:rPr>
                <w:rFonts w:hint="eastAsia" w:ascii="宋体" w:hAnsi="宋体" w:cs="宋体"/>
                <w:kern w:val="0"/>
                <w:szCs w:val="21"/>
              </w:rPr>
              <w:t>项目名称</w:t>
            </w:r>
          </w:p>
        </w:tc>
        <w:tc>
          <w:tcPr>
            <w:tcW w:w="960" w:type="dxa"/>
            <w:tcBorders>
              <w:right w:val="single" w:color="auto" w:sz="8" w:space="0"/>
            </w:tcBorders>
            <w:vAlign w:val="bottom"/>
          </w:tcPr>
          <w:p w14:paraId="49034A1A">
            <w:pPr>
              <w:widowControl/>
              <w:spacing w:line="240" w:lineRule="atLeast"/>
              <w:ind w:left="260"/>
              <w:jc w:val="left"/>
              <w:rPr>
                <w:rFonts w:ascii="宋体" w:hAnsi="宋体" w:cs="宋体"/>
                <w:kern w:val="0"/>
                <w:szCs w:val="21"/>
              </w:rPr>
            </w:pPr>
            <w:r>
              <w:rPr>
                <w:rFonts w:hint="eastAsia" w:ascii="宋体" w:hAnsi="宋体" w:cs="宋体"/>
                <w:kern w:val="0"/>
                <w:szCs w:val="21"/>
              </w:rPr>
              <w:t>建设</w:t>
            </w:r>
          </w:p>
        </w:tc>
        <w:tc>
          <w:tcPr>
            <w:tcW w:w="1560" w:type="dxa"/>
            <w:gridSpan w:val="2"/>
            <w:vMerge w:val="restart"/>
            <w:tcBorders>
              <w:right w:val="single" w:color="auto" w:sz="8" w:space="0"/>
            </w:tcBorders>
            <w:vAlign w:val="bottom"/>
          </w:tcPr>
          <w:p w14:paraId="184988FE">
            <w:pPr>
              <w:widowControl/>
              <w:spacing w:line="240" w:lineRule="atLeast"/>
              <w:ind w:left="140"/>
              <w:jc w:val="left"/>
              <w:rPr>
                <w:rFonts w:ascii="宋体" w:hAnsi="宋体" w:cs="宋体"/>
                <w:kern w:val="0"/>
                <w:szCs w:val="21"/>
              </w:rPr>
            </w:pPr>
            <w:r>
              <w:rPr>
                <w:rFonts w:hint="eastAsia" w:ascii="宋体" w:hAnsi="宋体" w:cs="宋体"/>
                <w:kern w:val="0"/>
                <w:szCs w:val="21"/>
              </w:rPr>
              <w:t>开、竣工时间</w:t>
            </w:r>
          </w:p>
        </w:tc>
        <w:tc>
          <w:tcPr>
            <w:tcW w:w="1220" w:type="dxa"/>
            <w:tcBorders>
              <w:right w:val="single" w:color="auto" w:sz="8" w:space="0"/>
            </w:tcBorders>
            <w:vAlign w:val="bottom"/>
          </w:tcPr>
          <w:p w14:paraId="7081132E">
            <w:pPr>
              <w:widowControl/>
              <w:spacing w:line="240" w:lineRule="atLeast"/>
              <w:jc w:val="center"/>
              <w:rPr>
                <w:rFonts w:ascii="宋体" w:hAnsi="宋体" w:cs="宋体"/>
                <w:kern w:val="0"/>
                <w:szCs w:val="21"/>
              </w:rPr>
            </w:pPr>
            <w:r>
              <w:rPr>
                <w:rFonts w:hint="eastAsia" w:ascii="宋体" w:hAnsi="宋体" w:cs="宋体"/>
                <w:kern w:val="0"/>
                <w:szCs w:val="21"/>
              </w:rPr>
              <w:t>合同质量</w:t>
            </w:r>
          </w:p>
        </w:tc>
        <w:tc>
          <w:tcPr>
            <w:tcW w:w="1400" w:type="dxa"/>
            <w:tcBorders>
              <w:right w:val="single" w:color="auto" w:sz="8" w:space="0"/>
            </w:tcBorders>
            <w:vAlign w:val="bottom"/>
          </w:tcPr>
          <w:p w14:paraId="43C8F089">
            <w:pPr>
              <w:widowControl/>
              <w:spacing w:line="240" w:lineRule="atLeast"/>
              <w:jc w:val="center"/>
              <w:rPr>
                <w:rFonts w:ascii="宋体" w:hAnsi="宋体" w:cs="宋体"/>
                <w:kern w:val="0"/>
                <w:szCs w:val="21"/>
              </w:rPr>
            </w:pPr>
            <w:r>
              <w:rPr>
                <w:rFonts w:hint="eastAsia" w:ascii="宋体" w:hAnsi="宋体" w:cs="宋体"/>
                <w:kern w:val="0"/>
                <w:szCs w:val="21"/>
              </w:rPr>
              <w:t>质量评定</w:t>
            </w:r>
          </w:p>
        </w:tc>
        <w:tc>
          <w:tcPr>
            <w:tcW w:w="1300" w:type="dxa"/>
            <w:tcBorders>
              <w:right w:val="single" w:color="auto" w:sz="8" w:space="0"/>
            </w:tcBorders>
            <w:vAlign w:val="bottom"/>
          </w:tcPr>
          <w:p w14:paraId="7E801405">
            <w:pPr>
              <w:widowControl/>
              <w:spacing w:line="240" w:lineRule="atLeast"/>
              <w:ind w:left="420"/>
              <w:jc w:val="left"/>
              <w:rPr>
                <w:rFonts w:ascii="宋体" w:hAnsi="宋体" w:cs="宋体"/>
                <w:kern w:val="0"/>
                <w:szCs w:val="21"/>
              </w:rPr>
            </w:pPr>
            <w:r>
              <w:rPr>
                <w:rFonts w:hint="eastAsia" w:ascii="宋体" w:hAnsi="宋体" w:cs="宋体"/>
                <w:kern w:val="0"/>
                <w:szCs w:val="21"/>
              </w:rPr>
              <w:t>担任</w:t>
            </w:r>
          </w:p>
        </w:tc>
      </w:tr>
      <w:tr w14:paraId="40112EF9">
        <w:tblPrEx>
          <w:tblCellMar>
            <w:top w:w="0" w:type="dxa"/>
            <w:left w:w="0" w:type="dxa"/>
            <w:bottom w:w="0" w:type="dxa"/>
            <w:right w:w="0" w:type="dxa"/>
          </w:tblCellMar>
        </w:tblPrEx>
        <w:trPr>
          <w:trHeight w:val="360" w:hRule="atLeast"/>
        </w:trPr>
        <w:tc>
          <w:tcPr>
            <w:tcW w:w="1680" w:type="dxa"/>
            <w:vMerge w:val="continue"/>
            <w:tcBorders>
              <w:left w:val="single" w:color="auto" w:sz="8" w:space="0"/>
              <w:right w:val="single" w:color="auto" w:sz="8" w:space="0"/>
            </w:tcBorders>
            <w:vAlign w:val="center"/>
          </w:tcPr>
          <w:p w14:paraId="42D28BBA">
            <w:pPr>
              <w:widowControl/>
              <w:jc w:val="left"/>
              <w:rPr>
                <w:rFonts w:ascii="宋体" w:hAnsi="宋体" w:cs="宋体"/>
                <w:kern w:val="0"/>
                <w:szCs w:val="21"/>
              </w:rPr>
            </w:pPr>
          </w:p>
        </w:tc>
        <w:tc>
          <w:tcPr>
            <w:tcW w:w="1560" w:type="dxa"/>
            <w:vMerge w:val="continue"/>
            <w:tcBorders>
              <w:right w:val="single" w:color="auto" w:sz="8" w:space="0"/>
            </w:tcBorders>
            <w:vAlign w:val="center"/>
          </w:tcPr>
          <w:p w14:paraId="41C92599">
            <w:pPr>
              <w:widowControl/>
              <w:jc w:val="left"/>
              <w:rPr>
                <w:rFonts w:ascii="宋体" w:hAnsi="宋体" w:cs="宋体"/>
                <w:kern w:val="0"/>
                <w:szCs w:val="21"/>
              </w:rPr>
            </w:pPr>
          </w:p>
        </w:tc>
        <w:tc>
          <w:tcPr>
            <w:tcW w:w="960" w:type="dxa"/>
            <w:vMerge w:val="restart"/>
            <w:tcBorders>
              <w:right w:val="single" w:color="auto" w:sz="8" w:space="0"/>
            </w:tcBorders>
            <w:vAlign w:val="bottom"/>
          </w:tcPr>
          <w:p w14:paraId="357A238E">
            <w:pPr>
              <w:widowControl/>
              <w:spacing w:line="156" w:lineRule="atLeast"/>
              <w:ind w:left="260"/>
              <w:jc w:val="left"/>
              <w:rPr>
                <w:rFonts w:ascii="宋体" w:hAnsi="宋体" w:cs="宋体"/>
                <w:kern w:val="0"/>
                <w:szCs w:val="21"/>
              </w:rPr>
            </w:pPr>
            <w:r>
              <w:rPr>
                <w:rFonts w:hint="eastAsia" w:ascii="宋体" w:hAnsi="宋体" w:cs="宋体"/>
                <w:kern w:val="0"/>
                <w:szCs w:val="21"/>
              </w:rPr>
              <w:t>规模</w:t>
            </w:r>
          </w:p>
        </w:tc>
        <w:tc>
          <w:tcPr>
            <w:tcW w:w="1560" w:type="dxa"/>
            <w:gridSpan w:val="2"/>
            <w:vMerge w:val="continue"/>
            <w:tcBorders>
              <w:right w:val="single" w:color="auto" w:sz="8" w:space="0"/>
            </w:tcBorders>
            <w:vAlign w:val="center"/>
          </w:tcPr>
          <w:p w14:paraId="1B07CB85">
            <w:pPr>
              <w:widowControl/>
              <w:jc w:val="left"/>
              <w:rPr>
                <w:rFonts w:ascii="宋体" w:hAnsi="宋体" w:cs="宋体"/>
                <w:kern w:val="0"/>
                <w:szCs w:val="21"/>
              </w:rPr>
            </w:pPr>
          </w:p>
        </w:tc>
        <w:tc>
          <w:tcPr>
            <w:tcW w:w="1220" w:type="dxa"/>
            <w:vMerge w:val="restart"/>
            <w:tcBorders>
              <w:right w:val="single" w:color="auto" w:sz="8" w:space="0"/>
            </w:tcBorders>
            <w:vAlign w:val="bottom"/>
          </w:tcPr>
          <w:p w14:paraId="13017B27">
            <w:pPr>
              <w:widowControl/>
              <w:spacing w:line="156" w:lineRule="atLeast"/>
              <w:jc w:val="center"/>
              <w:rPr>
                <w:rFonts w:ascii="宋体" w:hAnsi="宋体" w:cs="宋体"/>
                <w:kern w:val="0"/>
                <w:szCs w:val="21"/>
              </w:rPr>
            </w:pPr>
            <w:r>
              <w:rPr>
                <w:rFonts w:hint="eastAsia" w:ascii="宋体" w:hAnsi="宋体" w:cs="宋体"/>
                <w:kern w:val="0"/>
                <w:szCs w:val="21"/>
              </w:rPr>
              <w:t>标准</w:t>
            </w:r>
          </w:p>
        </w:tc>
        <w:tc>
          <w:tcPr>
            <w:tcW w:w="1400" w:type="dxa"/>
            <w:vMerge w:val="restart"/>
            <w:tcBorders>
              <w:right w:val="single" w:color="auto" w:sz="8" w:space="0"/>
            </w:tcBorders>
            <w:vAlign w:val="bottom"/>
          </w:tcPr>
          <w:p w14:paraId="10407885">
            <w:pPr>
              <w:widowControl/>
              <w:spacing w:line="156" w:lineRule="atLeast"/>
              <w:jc w:val="center"/>
              <w:rPr>
                <w:rFonts w:ascii="宋体" w:hAnsi="宋体" w:cs="宋体"/>
                <w:kern w:val="0"/>
                <w:szCs w:val="21"/>
              </w:rPr>
            </w:pPr>
            <w:r>
              <w:rPr>
                <w:rFonts w:hint="eastAsia" w:ascii="宋体" w:hAnsi="宋体" w:cs="宋体"/>
                <w:kern w:val="0"/>
                <w:szCs w:val="21"/>
              </w:rPr>
              <w:t>等级</w:t>
            </w:r>
          </w:p>
        </w:tc>
        <w:tc>
          <w:tcPr>
            <w:tcW w:w="1300" w:type="dxa"/>
            <w:vMerge w:val="restart"/>
            <w:tcBorders>
              <w:right w:val="single" w:color="auto" w:sz="8" w:space="0"/>
            </w:tcBorders>
            <w:vAlign w:val="bottom"/>
          </w:tcPr>
          <w:p w14:paraId="4D137D39">
            <w:pPr>
              <w:widowControl/>
              <w:spacing w:line="156" w:lineRule="atLeast"/>
              <w:ind w:left="420"/>
              <w:jc w:val="left"/>
              <w:rPr>
                <w:rFonts w:ascii="宋体" w:hAnsi="宋体" w:cs="宋体"/>
                <w:kern w:val="0"/>
                <w:szCs w:val="21"/>
              </w:rPr>
            </w:pPr>
            <w:r>
              <w:rPr>
                <w:rFonts w:hint="eastAsia" w:ascii="宋体" w:hAnsi="宋体" w:cs="宋体"/>
                <w:kern w:val="0"/>
                <w:szCs w:val="21"/>
              </w:rPr>
              <w:t>职务</w:t>
            </w:r>
          </w:p>
        </w:tc>
      </w:tr>
      <w:tr w14:paraId="25216C8E">
        <w:tblPrEx>
          <w:tblCellMar>
            <w:top w:w="0" w:type="dxa"/>
            <w:left w:w="0" w:type="dxa"/>
            <w:bottom w:w="0" w:type="dxa"/>
            <w:right w:w="0" w:type="dxa"/>
          </w:tblCellMar>
        </w:tblPrEx>
        <w:trPr>
          <w:trHeight w:val="156" w:hRule="atLeast"/>
        </w:trPr>
        <w:tc>
          <w:tcPr>
            <w:tcW w:w="1680" w:type="dxa"/>
            <w:tcBorders>
              <w:left w:val="single" w:color="auto" w:sz="8" w:space="0"/>
              <w:right w:val="single" w:color="auto" w:sz="8" w:space="0"/>
            </w:tcBorders>
            <w:vAlign w:val="bottom"/>
          </w:tcPr>
          <w:p w14:paraId="4C7C0B6D">
            <w:pPr>
              <w:widowControl/>
              <w:spacing w:line="240" w:lineRule="atLeast"/>
              <w:jc w:val="left"/>
              <w:rPr>
                <w:kern w:val="0"/>
                <w:sz w:val="13"/>
                <w:szCs w:val="13"/>
              </w:rPr>
            </w:pPr>
          </w:p>
        </w:tc>
        <w:tc>
          <w:tcPr>
            <w:tcW w:w="1560" w:type="dxa"/>
            <w:tcBorders>
              <w:right w:val="single" w:color="auto" w:sz="8" w:space="0"/>
            </w:tcBorders>
            <w:vAlign w:val="bottom"/>
          </w:tcPr>
          <w:p w14:paraId="46E43D8D">
            <w:pPr>
              <w:widowControl/>
              <w:spacing w:line="240" w:lineRule="atLeast"/>
              <w:jc w:val="left"/>
              <w:rPr>
                <w:kern w:val="0"/>
                <w:sz w:val="13"/>
                <w:szCs w:val="13"/>
              </w:rPr>
            </w:pPr>
          </w:p>
        </w:tc>
        <w:tc>
          <w:tcPr>
            <w:tcW w:w="960" w:type="dxa"/>
            <w:vMerge w:val="continue"/>
            <w:tcBorders>
              <w:right w:val="single" w:color="auto" w:sz="8" w:space="0"/>
            </w:tcBorders>
            <w:vAlign w:val="center"/>
          </w:tcPr>
          <w:p w14:paraId="1B85A70A">
            <w:pPr>
              <w:widowControl/>
              <w:jc w:val="left"/>
              <w:rPr>
                <w:rFonts w:ascii="宋体" w:hAnsi="宋体" w:cs="宋体"/>
                <w:kern w:val="0"/>
                <w:szCs w:val="21"/>
              </w:rPr>
            </w:pPr>
          </w:p>
        </w:tc>
        <w:tc>
          <w:tcPr>
            <w:tcW w:w="1320" w:type="dxa"/>
            <w:vAlign w:val="bottom"/>
          </w:tcPr>
          <w:p w14:paraId="67E6B596">
            <w:pPr>
              <w:widowControl/>
              <w:spacing w:line="240" w:lineRule="atLeast"/>
              <w:jc w:val="left"/>
              <w:rPr>
                <w:kern w:val="0"/>
                <w:sz w:val="13"/>
                <w:szCs w:val="13"/>
              </w:rPr>
            </w:pPr>
          </w:p>
        </w:tc>
        <w:tc>
          <w:tcPr>
            <w:tcW w:w="240" w:type="dxa"/>
            <w:tcBorders>
              <w:right w:val="single" w:color="auto" w:sz="8" w:space="0"/>
            </w:tcBorders>
            <w:vAlign w:val="bottom"/>
          </w:tcPr>
          <w:p w14:paraId="77E7A510">
            <w:pPr>
              <w:widowControl/>
              <w:spacing w:line="240" w:lineRule="atLeast"/>
              <w:jc w:val="left"/>
              <w:rPr>
                <w:kern w:val="0"/>
                <w:sz w:val="13"/>
                <w:szCs w:val="13"/>
              </w:rPr>
            </w:pPr>
          </w:p>
        </w:tc>
        <w:tc>
          <w:tcPr>
            <w:tcW w:w="1220" w:type="dxa"/>
            <w:vMerge w:val="continue"/>
            <w:tcBorders>
              <w:right w:val="single" w:color="auto" w:sz="8" w:space="0"/>
            </w:tcBorders>
            <w:vAlign w:val="center"/>
          </w:tcPr>
          <w:p w14:paraId="41A599D0">
            <w:pPr>
              <w:widowControl/>
              <w:jc w:val="left"/>
              <w:rPr>
                <w:rFonts w:ascii="宋体" w:hAnsi="宋体" w:cs="宋体"/>
                <w:kern w:val="0"/>
                <w:szCs w:val="21"/>
              </w:rPr>
            </w:pPr>
          </w:p>
        </w:tc>
        <w:tc>
          <w:tcPr>
            <w:tcW w:w="1400" w:type="dxa"/>
            <w:vMerge w:val="continue"/>
            <w:tcBorders>
              <w:right w:val="single" w:color="auto" w:sz="8" w:space="0"/>
            </w:tcBorders>
            <w:vAlign w:val="center"/>
          </w:tcPr>
          <w:p w14:paraId="1CDE8082">
            <w:pPr>
              <w:widowControl/>
              <w:jc w:val="left"/>
              <w:rPr>
                <w:rFonts w:ascii="宋体" w:hAnsi="宋体" w:cs="宋体"/>
                <w:kern w:val="0"/>
                <w:szCs w:val="21"/>
              </w:rPr>
            </w:pPr>
          </w:p>
        </w:tc>
        <w:tc>
          <w:tcPr>
            <w:tcW w:w="1300" w:type="dxa"/>
            <w:vMerge w:val="continue"/>
            <w:tcBorders>
              <w:right w:val="single" w:color="auto" w:sz="8" w:space="0"/>
            </w:tcBorders>
            <w:vAlign w:val="center"/>
          </w:tcPr>
          <w:p w14:paraId="0AD57ADA">
            <w:pPr>
              <w:widowControl/>
              <w:jc w:val="left"/>
              <w:rPr>
                <w:rFonts w:ascii="宋体" w:hAnsi="宋体" w:cs="宋体"/>
                <w:kern w:val="0"/>
                <w:szCs w:val="21"/>
              </w:rPr>
            </w:pPr>
          </w:p>
        </w:tc>
      </w:tr>
      <w:tr w14:paraId="1F83F437">
        <w:tblPrEx>
          <w:tblCellMar>
            <w:top w:w="0" w:type="dxa"/>
            <w:left w:w="0" w:type="dxa"/>
            <w:bottom w:w="0" w:type="dxa"/>
            <w:right w:w="0" w:type="dxa"/>
          </w:tblCellMar>
        </w:tblPrEx>
        <w:trPr>
          <w:trHeight w:val="51" w:hRule="atLeast"/>
        </w:trPr>
        <w:tc>
          <w:tcPr>
            <w:tcW w:w="1680" w:type="dxa"/>
            <w:tcBorders>
              <w:left w:val="single" w:color="auto" w:sz="8" w:space="0"/>
              <w:bottom w:val="single" w:color="auto" w:sz="8" w:space="0"/>
              <w:right w:val="single" w:color="auto" w:sz="8" w:space="0"/>
            </w:tcBorders>
            <w:vAlign w:val="bottom"/>
          </w:tcPr>
          <w:p w14:paraId="38D5FA56">
            <w:pPr>
              <w:widowControl/>
              <w:spacing w:line="240" w:lineRule="atLeast"/>
              <w:jc w:val="left"/>
              <w:rPr>
                <w:kern w:val="0"/>
                <w:sz w:val="4"/>
                <w:szCs w:val="4"/>
              </w:rPr>
            </w:pPr>
          </w:p>
        </w:tc>
        <w:tc>
          <w:tcPr>
            <w:tcW w:w="1560" w:type="dxa"/>
            <w:tcBorders>
              <w:bottom w:val="single" w:color="auto" w:sz="8" w:space="0"/>
              <w:right w:val="single" w:color="auto" w:sz="8" w:space="0"/>
            </w:tcBorders>
            <w:vAlign w:val="bottom"/>
          </w:tcPr>
          <w:p w14:paraId="4CE9FE25">
            <w:pPr>
              <w:widowControl/>
              <w:spacing w:line="240" w:lineRule="atLeast"/>
              <w:jc w:val="left"/>
              <w:rPr>
                <w:kern w:val="0"/>
                <w:sz w:val="4"/>
                <w:szCs w:val="4"/>
              </w:rPr>
            </w:pPr>
          </w:p>
        </w:tc>
        <w:tc>
          <w:tcPr>
            <w:tcW w:w="960" w:type="dxa"/>
            <w:tcBorders>
              <w:bottom w:val="single" w:color="auto" w:sz="8" w:space="0"/>
              <w:right w:val="single" w:color="auto" w:sz="8" w:space="0"/>
            </w:tcBorders>
            <w:vAlign w:val="bottom"/>
          </w:tcPr>
          <w:p w14:paraId="452F2DDA">
            <w:pPr>
              <w:widowControl/>
              <w:spacing w:line="240" w:lineRule="atLeast"/>
              <w:jc w:val="left"/>
              <w:rPr>
                <w:kern w:val="0"/>
                <w:sz w:val="4"/>
                <w:szCs w:val="4"/>
              </w:rPr>
            </w:pPr>
          </w:p>
        </w:tc>
        <w:tc>
          <w:tcPr>
            <w:tcW w:w="1320" w:type="dxa"/>
            <w:tcBorders>
              <w:bottom w:val="single" w:color="auto" w:sz="8" w:space="0"/>
            </w:tcBorders>
            <w:vAlign w:val="bottom"/>
          </w:tcPr>
          <w:p w14:paraId="55BB9AEA">
            <w:pPr>
              <w:widowControl/>
              <w:spacing w:line="240" w:lineRule="atLeast"/>
              <w:jc w:val="left"/>
              <w:rPr>
                <w:kern w:val="0"/>
                <w:sz w:val="4"/>
                <w:szCs w:val="4"/>
              </w:rPr>
            </w:pPr>
          </w:p>
        </w:tc>
        <w:tc>
          <w:tcPr>
            <w:tcW w:w="240" w:type="dxa"/>
            <w:tcBorders>
              <w:bottom w:val="single" w:color="auto" w:sz="8" w:space="0"/>
              <w:right w:val="single" w:color="auto" w:sz="8" w:space="0"/>
            </w:tcBorders>
            <w:vAlign w:val="bottom"/>
          </w:tcPr>
          <w:p w14:paraId="75BDC500">
            <w:pPr>
              <w:widowControl/>
              <w:spacing w:line="240" w:lineRule="atLeast"/>
              <w:jc w:val="left"/>
              <w:rPr>
                <w:kern w:val="0"/>
                <w:sz w:val="4"/>
                <w:szCs w:val="4"/>
              </w:rPr>
            </w:pPr>
          </w:p>
        </w:tc>
        <w:tc>
          <w:tcPr>
            <w:tcW w:w="1220" w:type="dxa"/>
            <w:tcBorders>
              <w:bottom w:val="single" w:color="auto" w:sz="8" w:space="0"/>
              <w:right w:val="single" w:color="auto" w:sz="8" w:space="0"/>
            </w:tcBorders>
            <w:vAlign w:val="bottom"/>
          </w:tcPr>
          <w:p w14:paraId="620D322B">
            <w:pPr>
              <w:widowControl/>
              <w:spacing w:line="240" w:lineRule="atLeast"/>
              <w:jc w:val="left"/>
              <w:rPr>
                <w:kern w:val="0"/>
                <w:sz w:val="4"/>
                <w:szCs w:val="4"/>
              </w:rPr>
            </w:pPr>
          </w:p>
        </w:tc>
        <w:tc>
          <w:tcPr>
            <w:tcW w:w="1400" w:type="dxa"/>
            <w:tcBorders>
              <w:bottom w:val="single" w:color="auto" w:sz="8" w:space="0"/>
              <w:right w:val="single" w:color="auto" w:sz="8" w:space="0"/>
            </w:tcBorders>
            <w:vAlign w:val="bottom"/>
          </w:tcPr>
          <w:p w14:paraId="104D18BE">
            <w:pPr>
              <w:widowControl/>
              <w:spacing w:line="240" w:lineRule="atLeast"/>
              <w:jc w:val="left"/>
              <w:rPr>
                <w:kern w:val="0"/>
                <w:sz w:val="4"/>
                <w:szCs w:val="4"/>
              </w:rPr>
            </w:pPr>
          </w:p>
        </w:tc>
        <w:tc>
          <w:tcPr>
            <w:tcW w:w="1300" w:type="dxa"/>
            <w:tcBorders>
              <w:bottom w:val="single" w:color="auto" w:sz="8" w:space="0"/>
              <w:right w:val="single" w:color="auto" w:sz="8" w:space="0"/>
            </w:tcBorders>
            <w:vAlign w:val="bottom"/>
          </w:tcPr>
          <w:p w14:paraId="4863C156">
            <w:pPr>
              <w:widowControl/>
              <w:spacing w:line="240" w:lineRule="atLeast"/>
              <w:jc w:val="left"/>
              <w:rPr>
                <w:kern w:val="0"/>
                <w:sz w:val="4"/>
                <w:szCs w:val="4"/>
              </w:rPr>
            </w:pPr>
          </w:p>
        </w:tc>
      </w:tr>
      <w:tr w14:paraId="266DDFA3">
        <w:tblPrEx>
          <w:tblCellMar>
            <w:top w:w="0" w:type="dxa"/>
            <w:left w:w="0" w:type="dxa"/>
            <w:bottom w:w="0" w:type="dxa"/>
            <w:right w:w="0" w:type="dxa"/>
          </w:tblCellMar>
        </w:tblPrEx>
        <w:trPr>
          <w:trHeight w:val="302" w:hRule="atLeast"/>
        </w:trPr>
        <w:tc>
          <w:tcPr>
            <w:tcW w:w="1680" w:type="dxa"/>
            <w:tcBorders>
              <w:left w:val="single" w:color="auto" w:sz="8" w:space="0"/>
              <w:bottom w:val="single" w:color="auto" w:sz="8" w:space="0"/>
              <w:right w:val="single" w:color="auto" w:sz="8" w:space="0"/>
            </w:tcBorders>
            <w:vAlign w:val="bottom"/>
          </w:tcPr>
          <w:p w14:paraId="7363430E">
            <w:pPr>
              <w:widowControl/>
              <w:spacing w:line="240" w:lineRule="atLeast"/>
              <w:jc w:val="left"/>
              <w:rPr>
                <w:kern w:val="0"/>
                <w:sz w:val="24"/>
              </w:rPr>
            </w:pPr>
          </w:p>
        </w:tc>
        <w:tc>
          <w:tcPr>
            <w:tcW w:w="1560" w:type="dxa"/>
            <w:tcBorders>
              <w:bottom w:val="single" w:color="auto" w:sz="8" w:space="0"/>
              <w:right w:val="single" w:color="auto" w:sz="8" w:space="0"/>
            </w:tcBorders>
            <w:vAlign w:val="bottom"/>
          </w:tcPr>
          <w:p w14:paraId="78142CB1">
            <w:pPr>
              <w:widowControl/>
              <w:spacing w:line="240" w:lineRule="atLeast"/>
              <w:jc w:val="left"/>
              <w:rPr>
                <w:kern w:val="0"/>
                <w:sz w:val="24"/>
              </w:rPr>
            </w:pPr>
          </w:p>
        </w:tc>
        <w:tc>
          <w:tcPr>
            <w:tcW w:w="960" w:type="dxa"/>
            <w:tcBorders>
              <w:bottom w:val="single" w:color="auto" w:sz="8" w:space="0"/>
              <w:right w:val="single" w:color="auto" w:sz="8" w:space="0"/>
            </w:tcBorders>
            <w:vAlign w:val="bottom"/>
          </w:tcPr>
          <w:p w14:paraId="1600B5CB">
            <w:pPr>
              <w:widowControl/>
              <w:spacing w:line="240" w:lineRule="atLeast"/>
              <w:jc w:val="left"/>
              <w:rPr>
                <w:kern w:val="0"/>
                <w:sz w:val="24"/>
              </w:rPr>
            </w:pPr>
          </w:p>
        </w:tc>
        <w:tc>
          <w:tcPr>
            <w:tcW w:w="1320" w:type="dxa"/>
            <w:tcBorders>
              <w:bottom w:val="single" w:color="auto" w:sz="8" w:space="0"/>
            </w:tcBorders>
            <w:vAlign w:val="bottom"/>
          </w:tcPr>
          <w:p w14:paraId="73DB0227">
            <w:pPr>
              <w:widowControl/>
              <w:spacing w:line="240" w:lineRule="atLeast"/>
              <w:jc w:val="left"/>
              <w:rPr>
                <w:kern w:val="0"/>
                <w:sz w:val="24"/>
              </w:rPr>
            </w:pPr>
          </w:p>
        </w:tc>
        <w:tc>
          <w:tcPr>
            <w:tcW w:w="240" w:type="dxa"/>
            <w:tcBorders>
              <w:bottom w:val="single" w:color="auto" w:sz="8" w:space="0"/>
              <w:right w:val="single" w:color="auto" w:sz="8" w:space="0"/>
            </w:tcBorders>
            <w:vAlign w:val="bottom"/>
          </w:tcPr>
          <w:p w14:paraId="2635C5AB">
            <w:pPr>
              <w:widowControl/>
              <w:spacing w:line="240" w:lineRule="atLeast"/>
              <w:jc w:val="left"/>
              <w:rPr>
                <w:kern w:val="0"/>
                <w:sz w:val="24"/>
              </w:rPr>
            </w:pPr>
          </w:p>
        </w:tc>
        <w:tc>
          <w:tcPr>
            <w:tcW w:w="1220" w:type="dxa"/>
            <w:tcBorders>
              <w:bottom w:val="single" w:color="auto" w:sz="8" w:space="0"/>
              <w:right w:val="single" w:color="auto" w:sz="8" w:space="0"/>
            </w:tcBorders>
            <w:vAlign w:val="bottom"/>
          </w:tcPr>
          <w:p w14:paraId="0CC4B0CA">
            <w:pPr>
              <w:widowControl/>
              <w:spacing w:line="240" w:lineRule="atLeast"/>
              <w:jc w:val="left"/>
              <w:rPr>
                <w:kern w:val="0"/>
                <w:sz w:val="24"/>
              </w:rPr>
            </w:pPr>
          </w:p>
        </w:tc>
        <w:tc>
          <w:tcPr>
            <w:tcW w:w="1400" w:type="dxa"/>
            <w:tcBorders>
              <w:bottom w:val="single" w:color="auto" w:sz="8" w:space="0"/>
              <w:right w:val="single" w:color="auto" w:sz="8" w:space="0"/>
            </w:tcBorders>
            <w:vAlign w:val="bottom"/>
          </w:tcPr>
          <w:p w14:paraId="19FB4588">
            <w:pPr>
              <w:widowControl/>
              <w:spacing w:line="240" w:lineRule="atLeast"/>
              <w:jc w:val="left"/>
              <w:rPr>
                <w:kern w:val="0"/>
                <w:sz w:val="24"/>
              </w:rPr>
            </w:pPr>
          </w:p>
        </w:tc>
        <w:tc>
          <w:tcPr>
            <w:tcW w:w="1300" w:type="dxa"/>
            <w:tcBorders>
              <w:bottom w:val="single" w:color="auto" w:sz="8" w:space="0"/>
              <w:right w:val="single" w:color="auto" w:sz="8" w:space="0"/>
            </w:tcBorders>
            <w:vAlign w:val="bottom"/>
          </w:tcPr>
          <w:p w14:paraId="08DB54B2">
            <w:pPr>
              <w:widowControl/>
              <w:spacing w:line="240" w:lineRule="atLeast"/>
              <w:jc w:val="left"/>
              <w:rPr>
                <w:kern w:val="0"/>
                <w:sz w:val="24"/>
              </w:rPr>
            </w:pPr>
          </w:p>
        </w:tc>
      </w:tr>
      <w:tr w14:paraId="63CBAE03">
        <w:tblPrEx>
          <w:tblCellMar>
            <w:top w:w="0" w:type="dxa"/>
            <w:left w:w="0" w:type="dxa"/>
            <w:bottom w:w="0" w:type="dxa"/>
            <w:right w:w="0" w:type="dxa"/>
          </w:tblCellMar>
        </w:tblPrEx>
        <w:trPr>
          <w:trHeight w:val="302" w:hRule="atLeast"/>
        </w:trPr>
        <w:tc>
          <w:tcPr>
            <w:tcW w:w="1680" w:type="dxa"/>
            <w:tcBorders>
              <w:left w:val="single" w:color="auto" w:sz="8" w:space="0"/>
              <w:bottom w:val="single" w:color="auto" w:sz="8" w:space="0"/>
              <w:right w:val="single" w:color="auto" w:sz="8" w:space="0"/>
            </w:tcBorders>
            <w:vAlign w:val="bottom"/>
          </w:tcPr>
          <w:p w14:paraId="253117B7">
            <w:pPr>
              <w:widowControl/>
              <w:spacing w:line="240" w:lineRule="atLeast"/>
              <w:jc w:val="left"/>
              <w:rPr>
                <w:kern w:val="0"/>
                <w:sz w:val="24"/>
              </w:rPr>
            </w:pPr>
          </w:p>
        </w:tc>
        <w:tc>
          <w:tcPr>
            <w:tcW w:w="1560" w:type="dxa"/>
            <w:tcBorders>
              <w:bottom w:val="single" w:color="auto" w:sz="8" w:space="0"/>
              <w:right w:val="single" w:color="auto" w:sz="8" w:space="0"/>
            </w:tcBorders>
            <w:vAlign w:val="bottom"/>
          </w:tcPr>
          <w:p w14:paraId="54614828">
            <w:pPr>
              <w:widowControl/>
              <w:spacing w:line="240" w:lineRule="atLeast"/>
              <w:jc w:val="left"/>
              <w:rPr>
                <w:kern w:val="0"/>
                <w:sz w:val="24"/>
              </w:rPr>
            </w:pPr>
          </w:p>
        </w:tc>
        <w:tc>
          <w:tcPr>
            <w:tcW w:w="960" w:type="dxa"/>
            <w:tcBorders>
              <w:bottom w:val="single" w:color="auto" w:sz="8" w:space="0"/>
              <w:right w:val="single" w:color="auto" w:sz="8" w:space="0"/>
            </w:tcBorders>
            <w:vAlign w:val="bottom"/>
          </w:tcPr>
          <w:p w14:paraId="0522F588">
            <w:pPr>
              <w:widowControl/>
              <w:spacing w:line="240" w:lineRule="atLeast"/>
              <w:jc w:val="left"/>
              <w:rPr>
                <w:kern w:val="0"/>
                <w:sz w:val="24"/>
              </w:rPr>
            </w:pPr>
          </w:p>
        </w:tc>
        <w:tc>
          <w:tcPr>
            <w:tcW w:w="1320" w:type="dxa"/>
            <w:tcBorders>
              <w:bottom w:val="single" w:color="auto" w:sz="8" w:space="0"/>
            </w:tcBorders>
            <w:vAlign w:val="bottom"/>
          </w:tcPr>
          <w:p w14:paraId="3CC73A05">
            <w:pPr>
              <w:widowControl/>
              <w:spacing w:line="240" w:lineRule="atLeast"/>
              <w:jc w:val="left"/>
              <w:rPr>
                <w:kern w:val="0"/>
                <w:sz w:val="24"/>
              </w:rPr>
            </w:pPr>
          </w:p>
        </w:tc>
        <w:tc>
          <w:tcPr>
            <w:tcW w:w="240" w:type="dxa"/>
            <w:tcBorders>
              <w:bottom w:val="single" w:color="auto" w:sz="8" w:space="0"/>
              <w:right w:val="single" w:color="auto" w:sz="8" w:space="0"/>
            </w:tcBorders>
            <w:vAlign w:val="bottom"/>
          </w:tcPr>
          <w:p w14:paraId="4AE76EE7">
            <w:pPr>
              <w:widowControl/>
              <w:spacing w:line="240" w:lineRule="atLeast"/>
              <w:jc w:val="left"/>
              <w:rPr>
                <w:kern w:val="0"/>
                <w:sz w:val="24"/>
              </w:rPr>
            </w:pPr>
          </w:p>
        </w:tc>
        <w:tc>
          <w:tcPr>
            <w:tcW w:w="1220" w:type="dxa"/>
            <w:tcBorders>
              <w:bottom w:val="single" w:color="auto" w:sz="8" w:space="0"/>
              <w:right w:val="single" w:color="auto" w:sz="8" w:space="0"/>
            </w:tcBorders>
            <w:vAlign w:val="bottom"/>
          </w:tcPr>
          <w:p w14:paraId="779A3259">
            <w:pPr>
              <w:widowControl/>
              <w:spacing w:line="240" w:lineRule="atLeast"/>
              <w:jc w:val="left"/>
              <w:rPr>
                <w:kern w:val="0"/>
                <w:sz w:val="24"/>
              </w:rPr>
            </w:pPr>
          </w:p>
        </w:tc>
        <w:tc>
          <w:tcPr>
            <w:tcW w:w="1400" w:type="dxa"/>
            <w:tcBorders>
              <w:bottom w:val="single" w:color="auto" w:sz="8" w:space="0"/>
              <w:right w:val="single" w:color="auto" w:sz="8" w:space="0"/>
            </w:tcBorders>
            <w:vAlign w:val="bottom"/>
          </w:tcPr>
          <w:p w14:paraId="5AFD4EE6">
            <w:pPr>
              <w:widowControl/>
              <w:spacing w:line="240" w:lineRule="atLeast"/>
              <w:jc w:val="left"/>
              <w:rPr>
                <w:kern w:val="0"/>
                <w:sz w:val="24"/>
              </w:rPr>
            </w:pPr>
          </w:p>
        </w:tc>
        <w:tc>
          <w:tcPr>
            <w:tcW w:w="1300" w:type="dxa"/>
            <w:tcBorders>
              <w:bottom w:val="single" w:color="auto" w:sz="8" w:space="0"/>
              <w:right w:val="single" w:color="auto" w:sz="8" w:space="0"/>
            </w:tcBorders>
            <w:vAlign w:val="bottom"/>
          </w:tcPr>
          <w:p w14:paraId="7476B716">
            <w:pPr>
              <w:widowControl/>
              <w:spacing w:line="240" w:lineRule="atLeast"/>
              <w:jc w:val="left"/>
              <w:rPr>
                <w:kern w:val="0"/>
                <w:sz w:val="24"/>
              </w:rPr>
            </w:pPr>
          </w:p>
        </w:tc>
      </w:tr>
      <w:tr w14:paraId="62ACD62B">
        <w:tblPrEx>
          <w:tblCellMar>
            <w:top w:w="0" w:type="dxa"/>
            <w:left w:w="0" w:type="dxa"/>
            <w:bottom w:w="0" w:type="dxa"/>
            <w:right w:w="0" w:type="dxa"/>
          </w:tblCellMar>
        </w:tblPrEx>
        <w:trPr>
          <w:trHeight w:val="302" w:hRule="atLeast"/>
        </w:trPr>
        <w:tc>
          <w:tcPr>
            <w:tcW w:w="1680" w:type="dxa"/>
            <w:tcBorders>
              <w:left w:val="single" w:color="auto" w:sz="8" w:space="0"/>
              <w:bottom w:val="single" w:color="auto" w:sz="8" w:space="0"/>
              <w:right w:val="single" w:color="auto" w:sz="8" w:space="0"/>
            </w:tcBorders>
            <w:vAlign w:val="bottom"/>
          </w:tcPr>
          <w:p w14:paraId="2712975F">
            <w:pPr>
              <w:widowControl/>
              <w:spacing w:line="240" w:lineRule="atLeast"/>
              <w:jc w:val="left"/>
              <w:rPr>
                <w:kern w:val="0"/>
                <w:sz w:val="24"/>
              </w:rPr>
            </w:pPr>
          </w:p>
        </w:tc>
        <w:tc>
          <w:tcPr>
            <w:tcW w:w="1560" w:type="dxa"/>
            <w:tcBorders>
              <w:bottom w:val="single" w:color="auto" w:sz="8" w:space="0"/>
              <w:right w:val="single" w:color="auto" w:sz="8" w:space="0"/>
            </w:tcBorders>
            <w:vAlign w:val="bottom"/>
          </w:tcPr>
          <w:p w14:paraId="2D946AB5">
            <w:pPr>
              <w:widowControl/>
              <w:spacing w:line="240" w:lineRule="atLeast"/>
              <w:jc w:val="left"/>
              <w:rPr>
                <w:kern w:val="0"/>
                <w:sz w:val="24"/>
              </w:rPr>
            </w:pPr>
          </w:p>
        </w:tc>
        <w:tc>
          <w:tcPr>
            <w:tcW w:w="960" w:type="dxa"/>
            <w:tcBorders>
              <w:bottom w:val="single" w:color="auto" w:sz="8" w:space="0"/>
              <w:right w:val="single" w:color="auto" w:sz="8" w:space="0"/>
            </w:tcBorders>
            <w:vAlign w:val="bottom"/>
          </w:tcPr>
          <w:p w14:paraId="7DB89702">
            <w:pPr>
              <w:widowControl/>
              <w:spacing w:line="240" w:lineRule="atLeast"/>
              <w:jc w:val="left"/>
              <w:rPr>
                <w:kern w:val="0"/>
                <w:sz w:val="24"/>
              </w:rPr>
            </w:pPr>
          </w:p>
        </w:tc>
        <w:tc>
          <w:tcPr>
            <w:tcW w:w="1320" w:type="dxa"/>
            <w:tcBorders>
              <w:bottom w:val="single" w:color="auto" w:sz="8" w:space="0"/>
            </w:tcBorders>
            <w:vAlign w:val="bottom"/>
          </w:tcPr>
          <w:p w14:paraId="33985E46">
            <w:pPr>
              <w:widowControl/>
              <w:spacing w:line="240" w:lineRule="atLeast"/>
              <w:jc w:val="left"/>
              <w:rPr>
                <w:kern w:val="0"/>
                <w:sz w:val="24"/>
              </w:rPr>
            </w:pPr>
          </w:p>
        </w:tc>
        <w:tc>
          <w:tcPr>
            <w:tcW w:w="240" w:type="dxa"/>
            <w:tcBorders>
              <w:bottom w:val="single" w:color="auto" w:sz="8" w:space="0"/>
              <w:right w:val="single" w:color="auto" w:sz="8" w:space="0"/>
            </w:tcBorders>
            <w:vAlign w:val="bottom"/>
          </w:tcPr>
          <w:p w14:paraId="2C1B279D">
            <w:pPr>
              <w:widowControl/>
              <w:spacing w:line="240" w:lineRule="atLeast"/>
              <w:jc w:val="left"/>
              <w:rPr>
                <w:kern w:val="0"/>
                <w:sz w:val="24"/>
              </w:rPr>
            </w:pPr>
          </w:p>
        </w:tc>
        <w:tc>
          <w:tcPr>
            <w:tcW w:w="1220" w:type="dxa"/>
            <w:tcBorders>
              <w:bottom w:val="single" w:color="auto" w:sz="8" w:space="0"/>
              <w:right w:val="single" w:color="auto" w:sz="8" w:space="0"/>
            </w:tcBorders>
            <w:vAlign w:val="bottom"/>
          </w:tcPr>
          <w:p w14:paraId="3D7C9882">
            <w:pPr>
              <w:widowControl/>
              <w:spacing w:line="240" w:lineRule="atLeast"/>
              <w:jc w:val="left"/>
              <w:rPr>
                <w:kern w:val="0"/>
                <w:sz w:val="24"/>
              </w:rPr>
            </w:pPr>
          </w:p>
        </w:tc>
        <w:tc>
          <w:tcPr>
            <w:tcW w:w="1400" w:type="dxa"/>
            <w:tcBorders>
              <w:bottom w:val="single" w:color="auto" w:sz="8" w:space="0"/>
              <w:right w:val="single" w:color="auto" w:sz="8" w:space="0"/>
            </w:tcBorders>
            <w:vAlign w:val="bottom"/>
          </w:tcPr>
          <w:p w14:paraId="0B33D878">
            <w:pPr>
              <w:widowControl/>
              <w:spacing w:line="240" w:lineRule="atLeast"/>
              <w:jc w:val="left"/>
              <w:rPr>
                <w:kern w:val="0"/>
                <w:sz w:val="24"/>
              </w:rPr>
            </w:pPr>
          </w:p>
        </w:tc>
        <w:tc>
          <w:tcPr>
            <w:tcW w:w="1300" w:type="dxa"/>
            <w:tcBorders>
              <w:bottom w:val="single" w:color="auto" w:sz="8" w:space="0"/>
              <w:right w:val="single" w:color="auto" w:sz="8" w:space="0"/>
            </w:tcBorders>
            <w:vAlign w:val="bottom"/>
          </w:tcPr>
          <w:p w14:paraId="7BC5B410">
            <w:pPr>
              <w:widowControl/>
              <w:spacing w:line="240" w:lineRule="atLeast"/>
              <w:jc w:val="left"/>
              <w:rPr>
                <w:kern w:val="0"/>
                <w:sz w:val="24"/>
              </w:rPr>
            </w:pPr>
          </w:p>
        </w:tc>
      </w:tr>
      <w:tr w14:paraId="65B30BD1">
        <w:tblPrEx>
          <w:tblCellMar>
            <w:top w:w="0" w:type="dxa"/>
            <w:left w:w="0" w:type="dxa"/>
            <w:bottom w:w="0" w:type="dxa"/>
            <w:right w:w="0" w:type="dxa"/>
          </w:tblCellMar>
        </w:tblPrEx>
        <w:trPr>
          <w:trHeight w:val="302" w:hRule="atLeast"/>
        </w:trPr>
        <w:tc>
          <w:tcPr>
            <w:tcW w:w="1680" w:type="dxa"/>
            <w:tcBorders>
              <w:left w:val="single" w:color="auto" w:sz="8" w:space="0"/>
              <w:bottom w:val="single" w:color="auto" w:sz="8" w:space="0"/>
              <w:right w:val="single" w:color="auto" w:sz="8" w:space="0"/>
            </w:tcBorders>
            <w:vAlign w:val="bottom"/>
          </w:tcPr>
          <w:p w14:paraId="6926D323">
            <w:pPr>
              <w:widowControl/>
              <w:spacing w:line="240" w:lineRule="atLeast"/>
              <w:jc w:val="left"/>
              <w:rPr>
                <w:kern w:val="0"/>
                <w:sz w:val="24"/>
              </w:rPr>
            </w:pPr>
          </w:p>
        </w:tc>
        <w:tc>
          <w:tcPr>
            <w:tcW w:w="1560" w:type="dxa"/>
            <w:tcBorders>
              <w:bottom w:val="single" w:color="auto" w:sz="8" w:space="0"/>
              <w:right w:val="single" w:color="auto" w:sz="8" w:space="0"/>
            </w:tcBorders>
            <w:vAlign w:val="bottom"/>
          </w:tcPr>
          <w:p w14:paraId="24A1C385">
            <w:pPr>
              <w:widowControl/>
              <w:spacing w:line="240" w:lineRule="atLeast"/>
              <w:jc w:val="left"/>
              <w:rPr>
                <w:kern w:val="0"/>
                <w:sz w:val="24"/>
              </w:rPr>
            </w:pPr>
          </w:p>
        </w:tc>
        <w:tc>
          <w:tcPr>
            <w:tcW w:w="960" w:type="dxa"/>
            <w:tcBorders>
              <w:bottom w:val="single" w:color="auto" w:sz="8" w:space="0"/>
              <w:right w:val="single" w:color="auto" w:sz="8" w:space="0"/>
            </w:tcBorders>
            <w:vAlign w:val="bottom"/>
          </w:tcPr>
          <w:p w14:paraId="6EACD16B">
            <w:pPr>
              <w:widowControl/>
              <w:spacing w:line="240" w:lineRule="atLeast"/>
              <w:jc w:val="left"/>
              <w:rPr>
                <w:kern w:val="0"/>
                <w:sz w:val="24"/>
              </w:rPr>
            </w:pPr>
          </w:p>
        </w:tc>
        <w:tc>
          <w:tcPr>
            <w:tcW w:w="1320" w:type="dxa"/>
            <w:tcBorders>
              <w:bottom w:val="single" w:color="auto" w:sz="8" w:space="0"/>
            </w:tcBorders>
            <w:vAlign w:val="bottom"/>
          </w:tcPr>
          <w:p w14:paraId="6C6CFEBB">
            <w:pPr>
              <w:widowControl/>
              <w:spacing w:line="240" w:lineRule="atLeast"/>
              <w:jc w:val="left"/>
              <w:rPr>
                <w:kern w:val="0"/>
                <w:sz w:val="24"/>
              </w:rPr>
            </w:pPr>
          </w:p>
        </w:tc>
        <w:tc>
          <w:tcPr>
            <w:tcW w:w="240" w:type="dxa"/>
            <w:tcBorders>
              <w:bottom w:val="single" w:color="auto" w:sz="8" w:space="0"/>
              <w:right w:val="single" w:color="auto" w:sz="8" w:space="0"/>
            </w:tcBorders>
            <w:vAlign w:val="bottom"/>
          </w:tcPr>
          <w:p w14:paraId="0AEFBBED">
            <w:pPr>
              <w:widowControl/>
              <w:spacing w:line="240" w:lineRule="atLeast"/>
              <w:jc w:val="left"/>
              <w:rPr>
                <w:kern w:val="0"/>
                <w:sz w:val="24"/>
              </w:rPr>
            </w:pPr>
          </w:p>
        </w:tc>
        <w:tc>
          <w:tcPr>
            <w:tcW w:w="1220" w:type="dxa"/>
            <w:tcBorders>
              <w:bottom w:val="single" w:color="auto" w:sz="8" w:space="0"/>
              <w:right w:val="single" w:color="auto" w:sz="8" w:space="0"/>
            </w:tcBorders>
            <w:vAlign w:val="bottom"/>
          </w:tcPr>
          <w:p w14:paraId="530BE65E">
            <w:pPr>
              <w:widowControl/>
              <w:spacing w:line="240" w:lineRule="atLeast"/>
              <w:jc w:val="left"/>
              <w:rPr>
                <w:kern w:val="0"/>
                <w:sz w:val="24"/>
              </w:rPr>
            </w:pPr>
          </w:p>
        </w:tc>
        <w:tc>
          <w:tcPr>
            <w:tcW w:w="1400" w:type="dxa"/>
            <w:tcBorders>
              <w:bottom w:val="single" w:color="auto" w:sz="8" w:space="0"/>
              <w:right w:val="single" w:color="auto" w:sz="8" w:space="0"/>
            </w:tcBorders>
            <w:vAlign w:val="bottom"/>
          </w:tcPr>
          <w:p w14:paraId="6578D90D">
            <w:pPr>
              <w:widowControl/>
              <w:spacing w:line="240" w:lineRule="atLeast"/>
              <w:jc w:val="left"/>
              <w:rPr>
                <w:kern w:val="0"/>
                <w:sz w:val="24"/>
              </w:rPr>
            </w:pPr>
          </w:p>
        </w:tc>
        <w:tc>
          <w:tcPr>
            <w:tcW w:w="1300" w:type="dxa"/>
            <w:tcBorders>
              <w:bottom w:val="single" w:color="auto" w:sz="8" w:space="0"/>
              <w:right w:val="single" w:color="auto" w:sz="8" w:space="0"/>
            </w:tcBorders>
            <w:vAlign w:val="bottom"/>
          </w:tcPr>
          <w:p w14:paraId="2397DE3C">
            <w:pPr>
              <w:widowControl/>
              <w:spacing w:line="240" w:lineRule="atLeast"/>
              <w:jc w:val="left"/>
              <w:rPr>
                <w:kern w:val="0"/>
                <w:sz w:val="24"/>
              </w:rPr>
            </w:pPr>
          </w:p>
        </w:tc>
      </w:tr>
      <w:tr w14:paraId="4A8EDC41">
        <w:tblPrEx>
          <w:tblCellMar>
            <w:top w:w="0" w:type="dxa"/>
            <w:left w:w="0" w:type="dxa"/>
            <w:bottom w:w="0" w:type="dxa"/>
            <w:right w:w="0" w:type="dxa"/>
          </w:tblCellMar>
        </w:tblPrEx>
        <w:trPr>
          <w:trHeight w:val="304" w:hRule="atLeast"/>
        </w:trPr>
        <w:tc>
          <w:tcPr>
            <w:tcW w:w="1680" w:type="dxa"/>
            <w:tcBorders>
              <w:left w:val="single" w:color="auto" w:sz="8" w:space="0"/>
              <w:bottom w:val="single" w:color="auto" w:sz="8" w:space="0"/>
              <w:right w:val="single" w:color="auto" w:sz="8" w:space="0"/>
            </w:tcBorders>
            <w:vAlign w:val="bottom"/>
          </w:tcPr>
          <w:p w14:paraId="3CE6E156">
            <w:pPr>
              <w:widowControl/>
              <w:spacing w:line="240" w:lineRule="atLeast"/>
              <w:jc w:val="left"/>
              <w:rPr>
                <w:kern w:val="0"/>
                <w:sz w:val="24"/>
              </w:rPr>
            </w:pPr>
          </w:p>
        </w:tc>
        <w:tc>
          <w:tcPr>
            <w:tcW w:w="1560" w:type="dxa"/>
            <w:tcBorders>
              <w:bottom w:val="single" w:color="auto" w:sz="8" w:space="0"/>
              <w:right w:val="single" w:color="auto" w:sz="8" w:space="0"/>
            </w:tcBorders>
            <w:vAlign w:val="bottom"/>
          </w:tcPr>
          <w:p w14:paraId="65B843FC">
            <w:pPr>
              <w:widowControl/>
              <w:spacing w:line="240" w:lineRule="atLeast"/>
              <w:jc w:val="left"/>
              <w:rPr>
                <w:kern w:val="0"/>
                <w:sz w:val="24"/>
              </w:rPr>
            </w:pPr>
          </w:p>
        </w:tc>
        <w:tc>
          <w:tcPr>
            <w:tcW w:w="960" w:type="dxa"/>
            <w:tcBorders>
              <w:bottom w:val="single" w:color="auto" w:sz="8" w:space="0"/>
              <w:right w:val="single" w:color="auto" w:sz="8" w:space="0"/>
            </w:tcBorders>
            <w:vAlign w:val="bottom"/>
          </w:tcPr>
          <w:p w14:paraId="2EC43543">
            <w:pPr>
              <w:widowControl/>
              <w:spacing w:line="240" w:lineRule="atLeast"/>
              <w:jc w:val="left"/>
              <w:rPr>
                <w:kern w:val="0"/>
                <w:sz w:val="24"/>
              </w:rPr>
            </w:pPr>
          </w:p>
        </w:tc>
        <w:tc>
          <w:tcPr>
            <w:tcW w:w="1320" w:type="dxa"/>
            <w:tcBorders>
              <w:bottom w:val="single" w:color="auto" w:sz="8" w:space="0"/>
            </w:tcBorders>
            <w:vAlign w:val="bottom"/>
          </w:tcPr>
          <w:p w14:paraId="609A717D">
            <w:pPr>
              <w:widowControl/>
              <w:spacing w:line="240" w:lineRule="atLeast"/>
              <w:jc w:val="left"/>
              <w:rPr>
                <w:kern w:val="0"/>
                <w:sz w:val="24"/>
              </w:rPr>
            </w:pPr>
          </w:p>
        </w:tc>
        <w:tc>
          <w:tcPr>
            <w:tcW w:w="240" w:type="dxa"/>
            <w:tcBorders>
              <w:bottom w:val="single" w:color="auto" w:sz="8" w:space="0"/>
              <w:right w:val="single" w:color="auto" w:sz="8" w:space="0"/>
            </w:tcBorders>
            <w:vAlign w:val="bottom"/>
          </w:tcPr>
          <w:p w14:paraId="7ACBA873">
            <w:pPr>
              <w:widowControl/>
              <w:spacing w:line="240" w:lineRule="atLeast"/>
              <w:jc w:val="left"/>
              <w:rPr>
                <w:kern w:val="0"/>
                <w:sz w:val="24"/>
              </w:rPr>
            </w:pPr>
          </w:p>
        </w:tc>
        <w:tc>
          <w:tcPr>
            <w:tcW w:w="1220" w:type="dxa"/>
            <w:tcBorders>
              <w:bottom w:val="single" w:color="auto" w:sz="8" w:space="0"/>
              <w:right w:val="single" w:color="auto" w:sz="8" w:space="0"/>
            </w:tcBorders>
            <w:vAlign w:val="bottom"/>
          </w:tcPr>
          <w:p w14:paraId="5B4E5D81">
            <w:pPr>
              <w:widowControl/>
              <w:spacing w:line="240" w:lineRule="atLeast"/>
              <w:jc w:val="left"/>
              <w:rPr>
                <w:kern w:val="0"/>
                <w:sz w:val="24"/>
              </w:rPr>
            </w:pPr>
          </w:p>
        </w:tc>
        <w:tc>
          <w:tcPr>
            <w:tcW w:w="1400" w:type="dxa"/>
            <w:tcBorders>
              <w:bottom w:val="single" w:color="auto" w:sz="8" w:space="0"/>
              <w:right w:val="single" w:color="auto" w:sz="8" w:space="0"/>
            </w:tcBorders>
            <w:vAlign w:val="bottom"/>
          </w:tcPr>
          <w:p w14:paraId="66FF3A7D">
            <w:pPr>
              <w:widowControl/>
              <w:spacing w:line="240" w:lineRule="atLeast"/>
              <w:jc w:val="left"/>
              <w:rPr>
                <w:kern w:val="0"/>
                <w:sz w:val="24"/>
              </w:rPr>
            </w:pPr>
          </w:p>
        </w:tc>
        <w:tc>
          <w:tcPr>
            <w:tcW w:w="1300" w:type="dxa"/>
            <w:tcBorders>
              <w:bottom w:val="single" w:color="auto" w:sz="8" w:space="0"/>
              <w:right w:val="single" w:color="auto" w:sz="8" w:space="0"/>
            </w:tcBorders>
            <w:vAlign w:val="bottom"/>
          </w:tcPr>
          <w:p w14:paraId="5FC63255">
            <w:pPr>
              <w:widowControl/>
              <w:spacing w:line="240" w:lineRule="atLeast"/>
              <w:jc w:val="left"/>
              <w:rPr>
                <w:kern w:val="0"/>
                <w:sz w:val="24"/>
              </w:rPr>
            </w:pPr>
          </w:p>
        </w:tc>
      </w:tr>
      <w:tr w14:paraId="225C3F9A">
        <w:tblPrEx>
          <w:tblCellMar>
            <w:top w:w="0" w:type="dxa"/>
            <w:left w:w="0" w:type="dxa"/>
            <w:bottom w:w="0" w:type="dxa"/>
            <w:right w:w="0" w:type="dxa"/>
          </w:tblCellMar>
        </w:tblPrEx>
        <w:trPr>
          <w:trHeight w:val="302" w:hRule="atLeast"/>
        </w:trPr>
        <w:tc>
          <w:tcPr>
            <w:tcW w:w="1680" w:type="dxa"/>
            <w:tcBorders>
              <w:left w:val="single" w:color="auto" w:sz="8" w:space="0"/>
              <w:bottom w:val="single" w:color="auto" w:sz="8" w:space="0"/>
              <w:right w:val="single" w:color="auto" w:sz="8" w:space="0"/>
            </w:tcBorders>
            <w:vAlign w:val="bottom"/>
          </w:tcPr>
          <w:p w14:paraId="16B25E01">
            <w:pPr>
              <w:widowControl/>
              <w:spacing w:line="240" w:lineRule="atLeast"/>
              <w:jc w:val="left"/>
              <w:rPr>
                <w:kern w:val="0"/>
                <w:sz w:val="24"/>
              </w:rPr>
            </w:pPr>
          </w:p>
        </w:tc>
        <w:tc>
          <w:tcPr>
            <w:tcW w:w="1560" w:type="dxa"/>
            <w:tcBorders>
              <w:bottom w:val="single" w:color="auto" w:sz="8" w:space="0"/>
              <w:right w:val="single" w:color="auto" w:sz="8" w:space="0"/>
            </w:tcBorders>
            <w:vAlign w:val="bottom"/>
          </w:tcPr>
          <w:p w14:paraId="0056AB2B">
            <w:pPr>
              <w:widowControl/>
              <w:spacing w:line="240" w:lineRule="atLeast"/>
              <w:jc w:val="left"/>
              <w:rPr>
                <w:kern w:val="0"/>
                <w:sz w:val="24"/>
              </w:rPr>
            </w:pPr>
          </w:p>
        </w:tc>
        <w:tc>
          <w:tcPr>
            <w:tcW w:w="960" w:type="dxa"/>
            <w:tcBorders>
              <w:bottom w:val="single" w:color="auto" w:sz="8" w:space="0"/>
              <w:right w:val="single" w:color="auto" w:sz="8" w:space="0"/>
            </w:tcBorders>
            <w:vAlign w:val="bottom"/>
          </w:tcPr>
          <w:p w14:paraId="1470921C">
            <w:pPr>
              <w:widowControl/>
              <w:spacing w:line="240" w:lineRule="atLeast"/>
              <w:jc w:val="left"/>
              <w:rPr>
                <w:kern w:val="0"/>
                <w:sz w:val="24"/>
              </w:rPr>
            </w:pPr>
          </w:p>
        </w:tc>
        <w:tc>
          <w:tcPr>
            <w:tcW w:w="1320" w:type="dxa"/>
            <w:tcBorders>
              <w:bottom w:val="single" w:color="auto" w:sz="8" w:space="0"/>
            </w:tcBorders>
            <w:vAlign w:val="bottom"/>
          </w:tcPr>
          <w:p w14:paraId="309BA723">
            <w:pPr>
              <w:widowControl/>
              <w:spacing w:line="240" w:lineRule="atLeast"/>
              <w:jc w:val="left"/>
              <w:rPr>
                <w:kern w:val="0"/>
                <w:sz w:val="24"/>
              </w:rPr>
            </w:pPr>
          </w:p>
        </w:tc>
        <w:tc>
          <w:tcPr>
            <w:tcW w:w="240" w:type="dxa"/>
            <w:tcBorders>
              <w:bottom w:val="single" w:color="auto" w:sz="8" w:space="0"/>
              <w:right w:val="single" w:color="auto" w:sz="8" w:space="0"/>
            </w:tcBorders>
            <w:vAlign w:val="bottom"/>
          </w:tcPr>
          <w:p w14:paraId="4ECE2791">
            <w:pPr>
              <w:widowControl/>
              <w:spacing w:line="240" w:lineRule="atLeast"/>
              <w:jc w:val="left"/>
              <w:rPr>
                <w:kern w:val="0"/>
                <w:sz w:val="24"/>
              </w:rPr>
            </w:pPr>
          </w:p>
        </w:tc>
        <w:tc>
          <w:tcPr>
            <w:tcW w:w="1220" w:type="dxa"/>
            <w:tcBorders>
              <w:bottom w:val="single" w:color="auto" w:sz="8" w:space="0"/>
              <w:right w:val="single" w:color="auto" w:sz="8" w:space="0"/>
            </w:tcBorders>
            <w:vAlign w:val="bottom"/>
          </w:tcPr>
          <w:p w14:paraId="06818B02">
            <w:pPr>
              <w:widowControl/>
              <w:spacing w:line="240" w:lineRule="atLeast"/>
              <w:jc w:val="left"/>
              <w:rPr>
                <w:kern w:val="0"/>
                <w:sz w:val="24"/>
              </w:rPr>
            </w:pPr>
          </w:p>
        </w:tc>
        <w:tc>
          <w:tcPr>
            <w:tcW w:w="1400" w:type="dxa"/>
            <w:tcBorders>
              <w:bottom w:val="single" w:color="auto" w:sz="8" w:space="0"/>
              <w:right w:val="single" w:color="auto" w:sz="8" w:space="0"/>
            </w:tcBorders>
            <w:vAlign w:val="bottom"/>
          </w:tcPr>
          <w:p w14:paraId="013F6C33">
            <w:pPr>
              <w:widowControl/>
              <w:spacing w:line="240" w:lineRule="atLeast"/>
              <w:jc w:val="left"/>
              <w:rPr>
                <w:kern w:val="0"/>
                <w:sz w:val="24"/>
              </w:rPr>
            </w:pPr>
          </w:p>
        </w:tc>
        <w:tc>
          <w:tcPr>
            <w:tcW w:w="1300" w:type="dxa"/>
            <w:tcBorders>
              <w:bottom w:val="single" w:color="auto" w:sz="8" w:space="0"/>
              <w:right w:val="single" w:color="auto" w:sz="8" w:space="0"/>
            </w:tcBorders>
            <w:vAlign w:val="bottom"/>
          </w:tcPr>
          <w:p w14:paraId="12060E87">
            <w:pPr>
              <w:widowControl/>
              <w:spacing w:line="240" w:lineRule="atLeast"/>
              <w:jc w:val="left"/>
              <w:rPr>
                <w:kern w:val="0"/>
                <w:sz w:val="24"/>
              </w:rPr>
            </w:pPr>
          </w:p>
        </w:tc>
      </w:tr>
      <w:tr w14:paraId="33644EBB">
        <w:tblPrEx>
          <w:tblCellMar>
            <w:top w:w="0" w:type="dxa"/>
            <w:left w:w="0" w:type="dxa"/>
            <w:bottom w:w="0" w:type="dxa"/>
            <w:right w:w="0" w:type="dxa"/>
          </w:tblCellMar>
        </w:tblPrEx>
        <w:trPr>
          <w:trHeight w:val="302" w:hRule="atLeast"/>
        </w:trPr>
        <w:tc>
          <w:tcPr>
            <w:tcW w:w="1680" w:type="dxa"/>
            <w:tcBorders>
              <w:left w:val="single" w:color="auto" w:sz="8" w:space="0"/>
              <w:bottom w:val="single" w:color="auto" w:sz="8" w:space="0"/>
              <w:right w:val="single" w:color="auto" w:sz="8" w:space="0"/>
            </w:tcBorders>
            <w:vAlign w:val="bottom"/>
          </w:tcPr>
          <w:p w14:paraId="07D2CA92">
            <w:pPr>
              <w:widowControl/>
              <w:spacing w:line="240" w:lineRule="atLeast"/>
              <w:jc w:val="left"/>
              <w:rPr>
                <w:kern w:val="0"/>
                <w:sz w:val="24"/>
              </w:rPr>
            </w:pPr>
          </w:p>
        </w:tc>
        <w:tc>
          <w:tcPr>
            <w:tcW w:w="1560" w:type="dxa"/>
            <w:tcBorders>
              <w:bottom w:val="single" w:color="auto" w:sz="8" w:space="0"/>
              <w:right w:val="single" w:color="auto" w:sz="8" w:space="0"/>
            </w:tcBorders>
            <w:vAlign w:val="bottom"/>
          </w:tcPr>
          <w:p w14:paraId="50C06D75">
            <w:pPr>
              <w:widowControl/>
              <w:spacing w:line="240" w:lineRule="atLeast"/>
              <w:jc w:val="left"/>
              <w:rPr>
                <w:kern w:val="0"/>
                <w:sz w:val="24"/>
              </w:rPr>
            </w:pPr>
          </w:p>
        </w:tc>
        <w:tc>
          <w:tcPr>
            <w:tcW w:w="960" w:type="dxa"/>
            <w:tcBorders>
              <w:bottom w:val="single" w:color="auto" w:sz="8" w:space="0"/>
              <w:right w:val="single" w:color="auto" w:sz="8" w:space="0"/>
            </w:tcBorders>
            <w:vAlign w:val="bottom"/>
          </w:tcPr>
          <w:p w14:paraId="65539232">
            <w:pPr>
              <w:widowControl/>
              <w:spacing w:line="240" w:lineRule="atLeast"/>
              <w:jc w:val="left"/>
              <w:rPr>
                <w:kern w:val="0"/>
                <w:sz w:val="24"/>
              </w:rPr>
            </w:pPr>
          </w:p>
        </w:tc>
        <w:tc>
          <w:tcPr>
            <w:tcW w:w="1320" w:type="dxa"/>
            <w:tcBorders>
              <w:bottom w:val="single" w:color="auto" w:sz="8" w:space="0"/>
            </w:tcBorders>
            <w:vAlign w:val="bottom"/>
          </w:tcPr>
          <w:p w14:paraId="6CABBEDB">
            <w:pPr>
              <w:widowControl/>
              <w:spacing w:line="240" w:lineRule="atLeast"/>
              <w:jc w:val="left"/>
              <w:rPr>
                <w:kern w:val="0"/>
                <w:sz w:val="24"/>
              </w:rPr>
            </w:pPr>
          </w:p>
        </w:tc>
        <w:tc>
          <w:tcPr>
            <w:tcW w:w="240" w:type="dxa"/>
            <w:tcBorders>
              <w:bottom w:val="single" w:color="auto" w:sz="8" w:space="0"/>
              <w:right w:val="single" w:color="auto" w:sz="8" w:space="0"/>
            </w:tcBorders>
            <w:vAlign w:val="bottom"/>
          </w:tcPr>
          <w:p w14:paraId="52E2773A">
            <w:pPr>
              <w:widowControl/>
              <w:spacing w:line="240" w:lineRule="atLeast"/>
              <w:jc w:val="left"/>
              <w:rPr>
                <w:kern w:val="0"/>
                <w:sz w:val="24"/>
              </w:rPr>
            </w:pPr>
          </w:p>
        </w:tc>
        <w:tc>
          <w:tcPr>
            <w:tcW w:w="1220" w:type="dxa"/>
            <w:tcBorders>
              <w:bottom w:val="single" w:color="auto" w:sz="8" w:space="0"/>
              <w:right w:val="single" w:color="auto" w:sz="8" w:space="0"/>
            </w:tcBorders>
            <w:vAlign w:val="bottom"/>
          </w:tcPr>
          <w:p w14:paraId="3D3C5243">
            <w:pPr>
              <w:widowControl/>
              <w:spacing w:line="240" w:lineRule="atLeast"/>
              <w:jc w:val="left"/>
              <w:rPr>
                <w:kern w:val="0"/>
                <w:sz w:val="24"/>
              </w:rPr>
            </w:pPr>
          </w:p>
        </w:tc>
        <w:tc>
          <w:tcPr>
            <w:tcW w:w="1400" w:type="dxa"/>
            <w:tcBorders>
              <w:bottom w:val="single" w:color="auto" w:sz="8" w:space="0"/>
              <w:right w:val="single" w:color="auto" w:sz="8" w:space="0"/>
            </w:tcBorders>
            <w:vAlign w:val="bottom"/>
          </w:tcPr>
          <w:p w14:paraId="796CB0C3">
            <w:pPr>
              <w:widowControl/>
              <w:spacing w:line="240" w:lineRule="atLeast"/>
              <w:jc w:val="left"/>
              <w:rPr>
                <w:kern w:val="0"/>
                <w:sz w:val="24"/>
              </w:rPr>
            </w:pPr>
          </w:p>
        </w:tc>
        <w:tc>
          <w:tcPr>
            <w:tcW w:w="1300" w:type="dxa"/>
            <w:tcBorders>
              <w:bottom w:val="single" w:color="auto" w:sz="8" w:space="0"/>
              <w:right w:val="single" w:color="auto" w:sz="8" w:space="0"/>
            </w:tcBorders>
            <w:vAlign w:val="bottom"/>
          </w:tcPr>
          <w:p w14:paraId="54B7616E">
            <w:pPr>
              <w:widowControl/>
              <w:spacing w:line="240" w:lineRule="atLeast"/>
              <w:jc w:val="left"/>
              <w:rPr>
                <w:kern w:val="0"/>
                <w:sz w:val="24"/>
              </w:rPr>
            </w:pPr>
          </w:p>
        </w:tc>
      </w:tr>
    </w:tbl>
    <w:p w14:paraId="09D3062A">
      <w:pPr>
        <w:widowControl/>
        <w:spacing w:line="200" w:lineRule="exact"/>
        <w:jc w:val="left"/>
        <w:rPr>
          <w:kern w:val="0"/>
          <w:sz w:val="24"/>
        </w:rPr>
      </w:pPr>
    </w:p>
    <w:p w14:paraId="076DFBFB">
      <w:pPr>
        <w:widowControl/>
        <w:spacing w:line="239" w:lineRule="exact"/>
        <w:jc w:val="left"/>
        <w:rPr>
          <w:rFonts w:ascii="MS PGothic" w:hAnsi="MS PGothic" w:eastAsia="MS PGothic" w:cs="宋体"/>
          <w:b/>
          <w:kern w:val="0"/>
          <w:szCs w:val="21"/>
        </w:rPr>
      </w:pPr>
      <w:r>
        <w:rPr>
          <w:rFonts w:hint="eastAsia" w:ascii="宋体" w:hAnsi="宋体" w:cs="宋体"/>
          <w:b/>
          <w:kern w:val="0"/>
          <w:szCs w:val="21"/>
        </w:rPr>
        <w:t>说明</w:t>
      </w:r>
      <w:r>
        <w:rPr>
          <w:rFonts w:hint="eastAsia" w:ascii="MS PGothic" w:hAnsi="MS PGothic" w:eastAsia="MS PGothic" w:cs="宋体"/>
          <w:b/>
          <w:kern w:val="0"/>
          <w:szCs w:val="21"/>
        </w:rPr>
        <w:t>：</w:t>
      </w:r>
    </w:p>
    <w:p w14:paraId="5337D7F1">
      <w:pPr>
        <w:widowControl/>
        <w:spacing w:line="214" w:lineRule="exact"/>
        <w:jc w:val="left"/>
        <w:rPr>
          <w:kern w:val="0"/>
          <w:sz w:val="24"/>
        </w:rPr>
      </w:pPr>
    </w:p>
    <w:p w14:paraId="42D54CA8">
      <w:pPr>
        <w:widowControl/>
        <w:spacing w:line="440" w:lineRule="exact"/>
        <w:jc w:val="left"/>
        <w:rPr>
          <w:rFonts w:ascii="黑体" w:hAnsi="宋体" w:eastAsia="黑体" w:cs="宋体"/>
          <w:kern w:val="0"/>
          <w:szCs w:val="21"/>
          <w:u w:val="single"/>
        </w:rPr>
      </w:pPr>
      <w:r>
        <w:rPr>
          <w:rFonts w:hint="eastAsia" w:ascii="黑体" w:hAnsi="宋体" w:eastAsia="黑体" w:cs="宋体"/>
          <w:kern w:val="0"/>
          <w:szCs w:val="21"/>
        </w:rPr>
        <w:t>投标人编制投标文件时</w:t>
      </w:r>
      <w:r>
        <w:rPr>
          <w:rFonts w:hint="eastAsia" w:ascii="黑体" w:hAnsi="MS PGothic" w:eastAsia="黑体" w:cs="宋体"/>
          <w:kern w:val="0"/>
          <w:szCs w:val="21"/>
        </w:rPr>
        <w:t>，</w:t>
      </w:r>
      <w:r>
        <w:rPr>
          <w:rFonts w:hint="eastAsia" w:ascii="黑体" w:hAnsi="宋体" w:eastAsia="黑体" w:cs="宋体"/>
          <w:kern w:val="0"/>
          <w:szCs w:val="21"/>
        </w:rPr>
        <w:t>应将</w:t>
      </w:r>
      <w:r>
        <w:rPr>
          <w:rFonts w:hint="eastAsia" w:ascii="黑体" w:hAnsi="Arial" w:eastAsia="黑体" w:cs="Arial"/>
          <w:kern w:val="0"/>
          <w:szCs w:val="21"/>
        </w:rPr>
        <w:t>“</w:t>
      </w:r>
      <w:r>
        <w:rPr>
          <w:rFonts w:hint="eastAsia" w:ascii="黑体" w:hAnsi="宋体" w:eastAsia="黑体" w:cs="宋体"/>
          <w:kern w:val="0"/>
          <w:szCs w:val="21"/>
        </w:rPr>
        <w:t>拟选派项目监理机构人员一览表</w:t>
      </w:r>
      <w:r>
        <w:rPr>
          <w:rFonts w:hint="eastAsia" w:ascii="黑体" w:hAnsi="Arial" w:eastAsia="黑体" w:cs="Arial"/>
          <w:kern w:val="0"/>
          <w:szCs w:val="21"/>
        </w:rPr>
        <w:t>”</w:t>
      </w:r>
      <w:r>
        <w:rPr>
          <w:rFonts w:hint="eastAsia" w:ascii="黑体" w:hAnsi="宋体" w:eastAsia="黑体" w:cs="宋体"/>
          <w:kern w:val="0"/>
          <w:szCs w:val="21"/>
        </w:rPr>
        <w:t>所列监理人员的</w:t>
      </w:r>
    </w:p>
    <w:p w14:paraId="5A15F8F0">
      <w:pPr>
        <w:widowControl/>
        <w:spacing w:line="440" w:lineRule="exact"/>
        <w:jc w:val="left"/>
        <w:rPr>
          <w:rFonts w:ascii="黑体" w:hAnsi="宋体" w:eastAsia="黑体" w:cs="宋体"/>
          <w:kern w:val="0"/>
          <w:szCs w:val="21"/>
        </w:rPr>
      </w:pPr>
      <w:r>
        <w:rPr>
          <w:rFonts w:hint="eastAsia" w:ascii="黑体" w:hAnsi="宋体" w:eastAsia="黑体" w:cs="宋体"/>
          <w:kern w:val="0"/>
          <w:szCs w:val="21"/>
          <w:u w:val="single"/>
        </w:rPr>
        <w:t>注册证或岗位证</w:t>
      </w:r>
      <w:r>
        <w:rPr>
          <w:rFonts w:hint="eastAsia" w:ascii="黑体" w:hAnsi="宋体" w:eastAsia="黑体" w:cs="宋体"/>
          <w:kern w:val="0"/>
          <w:szCs w:val="21"/>
          <w:u w:val="single"/>
          <w:lang w:val="en-US" w:eastAsia="zh-CN"/>
        </w:rPr>
        <w:t>或培训证</w:t>
      </w:r>
      <w:r>
        <w:rPr>
          <w:rFonts w:hint="eastAsia" w:ascii="黑体" w:hAnsi="宋体" w:eastAsia="黑体" w:cs="宋体"/>
          <w:kern w:val="0"/>
          <w:szCs w:val="21"/>
          <w:u w:val="single"/>
        </w:rPr>
        <w:t>、身份证、毕业证、职称证（如有）</w:t>
      </w:r>
      <w:r>
        <w:rPr>
          <w:rFonts w:hint="eastAsia" w:ascii="黑体" w:hAnsi="宋体" w:eastAsia="黑体" w:cs="宋体"/>
          <w:kern w:val="0"/>
          <w:szCs w:val="21"/>
        </w:rPr>
        <w:t>作为本表的附件</w:t>
      </w:r>
    </w:p>
    <w:p w14:paraId="7C647EAE">
      <w:pPr>
        <w:pStyle w:val="3"/>
        <w:spacing w:line="480" w:lineRule="exact"/>
        <w:jc w:val="center"/>
        <w:rPr>
          <w:rFonts w:ascii="宋体" w:hAnsi="宋体"/>
          <w:b/>
          <w:bCs w:val="0"/>
          <w:sz w:val="30"/>
          <w:szCs w:val="44"/>
        </w:rPr>
      </w:pPr>
      <w:r>
        <w:rPr>
          <w:rFonts w:hint="eastAsia" w:ascii="宋体" w:hAnsi="宋体" w:cs="宋体"/>
        </w:rPr>
        <w:br w:type="page"/>
      </w:r>
      <w:r>
        <w:rPr>
          <w:rFonts w:hint="eastAsia" w:ascii="宋体" w:hAnsi="宋体"/>
          <w:sz w:val="30"/>
          <w:szCs w:val="30"/>
        </w:rPr>
        <w:t>六、</w:t>
      </w:r>
      <w:r>
        <w:rPr>
          <w:rFonts w:hint="eastAsia" w:ascii="宋体" w:hAnsi="宋体"/>
          <w:b/>
          <w:sz w:val="30"/>
          <w:szCs w:val="44"/>
        </w:rPr>
        <w:t>投标人诚信承诺书</w:t>
      </w:r>
    </w:p>
    <w:p w14:paraId="02F5326A">
      <w:pPr>
        <w:spacing w:line="480" w:lineRule="exact"/>
        <w:ind w:firstLine="422" w:firstLineChars="200"/>
        <w:jc w:val="left"/>
        <w:textAlignment w:val="baseline"/>
        <w:rPr>
          <w:rFonts w:ascii="宋体" w:hAnsi="宋体"/>
          <w:szCs w:val="21"/>
        </w:rPr>
      </w:pPr>
      <w:r>
        <w:rPr>
          <w:rFonts w:hint="eastAsia" w:ascii="宋体" w:hAnsi="宋体"/>
          <w:b/>
          <w:bCs/>
          <w:szCs w:val="21"/>
        </w:rPr>
        <w:t>致：</w:t>
      </w:r>
      <w:r>
        <w:rPr>
          <w:rFonts w:hint="eastAsia" w:ascii="宋体" w:hAnsi="宋体"/>
          <w:b/>
          <w:bCs/>
          <w:szCs w:val="21"/>
          <w:u w:val="single"/>
        </w:rPr>
        <w:t xml:space="preserve">  </w:t>
      </w:r>
      <w:r>
        <w:rPr>
          <w:rFonts w:hint="eastAsia" w:ascii="宋体" w:hAnsi="宋体"/>
          <w:b/>
          <w:bCs/>
          <w:szCs w:val="21"/>
          <w:u w:val="single"/>
          <w:lang w:val="en-US" w:eastAsia="zh-CN"/>
        </w:rPr>
        <w:t>南通浩宏市政工程有限公司</w:t>
      </w:r>
      <w:r>
        <w:rPr>
          <w:rFonts w:hint="eastAsia" w:ascii="宋体" w:hAnsi="宋体"/>
          <w:b/>
          <w:bCs/>
          <w:szCs w:val="21"/>
          <w:u w:val="single"/>
        </w:rPr>
        <w:t xml:space="preserve"> </w:t>
      </w:r>
    </w:p>
    <w:p w14:paraId="186FF659">
      <w:pPr>
        <w:spacing w:line="480" w:lineRule="exact"/>
        <w:ind w:firstLine="840" w:firstLineChars="400"/>
        <w:jc w:val="left"/>
        <w:textAlignment w:val="baseline"/>
        <w:rPr>
          <w:rFonts w:ascii="宋体" w:hAnsi="宋体"/>
          <w:szCs w:val="21"/>
        </w:rPr>
      </w:pPr>
      <w:r>
        <w:rPr>
          <w:rFonts w:hint="eastAsia" w:ascii="宋体" w:hAnsi="宋体"/>
          <w:szCs w:val="21"/>
          <w:u w:val="single"/>
        </w:rPr>
        <w:t>（投标人全称）</w:t>
      </w:r>
      <w:r>
        <w:rPr>
          <w:rFonts w:hint="eastAsia" w:ascii="宋体" w:hAnsi="宋体"/>
          <w:szCs w:val="21"/>
        </w:rPr>
        <w:t xml:space="preserve"> 参与</w:t>
      </w:r>
      <w:r>
        <w:rPr>
          <w:rFonts w:hint="eastAsia" w:ascii="宋体" w:hAnsi="宋体"/>
          <w:szCs w:val="21"/>
          <w:u w:val="single"/>
          <w:lang w:val="en-US" w:eastAsia="zh-CN"/>
        </w:rPr>
        <w:t xml:space="preserve"> </w:t>
      </w:r>
      <w:r>
        <w:rPr>
          <w:rFonts w:hint="eastAsia" w:ascii="宋体" w:hAnsi="宋体"/>
          <w:szCs w:val="21"/>
          <w:u w:val="single"/>
        </w:rPr>
        <w:t>（项目名称）</w:t>
      </w:r>
      <w:r>
        <w:rPr>
          <w:rFonts w:hint="eastAsia" w:ascii="宋体" w:hAnsi="宋体"/>
          <w:szCs w:val="21"/>
          <w:u w:val="single"/>
          <w:lang w:val="en-US" w:eastAsia="zh-CN"/>
        </w:rPr>
        <w:t xml:space="preserve"> </w:t>
      </w:r>
      <w:r>
        <w:rPr>
          <w:rFonts w:hint="eastAsia" w:ascii="宋体" w:hAnsi="宋体"/>
          <w:szCs w:val="21"/>
        </w:rPr>
        <w:t>投标，我单位愿意作出以下承诺：</w:t>
      </w:r>
    </w:p>
    <w:p w14:paraId="08C675A6">
      <w:pPr>
        <w:spacing w:line="480" w:lineRule="exact"/>
        <w:ind w:firstLine="420" w:firstLineChars="200"/>
        <w:jc w:val="left"/>
        <w:textAlignment w:val="baseline"/>
        <w:rPr>
          <w:rFonts w:ascii="宋体" w:hAnsi="宋体"/>
          <w:szCs w:val="21"/>
        </w:rPr>
      </w:pPr>
      <w:r>
        <w:rPr>
          <w:rFonts w:hint="eastAsia" w:ascii="宋体" w:hAnsi="宋体"/>
          <w:szCs w:val="21"/>
        </w:rPr>
        <w:t>1.投标人诚信承诺书非本单位法定代表人签发的，承诺内容不实的，一经查实，愿意按弄虚作假、提供虚假材料情况对待，列入不良行为记录，并自愿接受禁止在通州1—3年投标资格等行政惩处，对违反承诺内容所引发的一切后果，我单位愿负法律责任。</w:t>
      </w:r>
    </w:p>
    <w:p w14:paraId="1A15C059">
      <w:pPr>
        <w:spacing w:line="480" w:lineRule="exact"/>
        <w:ind w:firstLine="420" w:firstLineChars="200"/>
        <w:jc w:val="left"/>
        <w:textAlignment w:val="baseline"/>
        <w:rPr>
          <w:rFonts w:ascii="宋体" w:hAnsi="宋体"/>
          <w:szCs w:val="21"/>
        </w:rPr>
      </w:pPr>
      <w:r>
        <w:rPr>
          <w:rFonts w:hint="eastAsia" w:ascii="宋体" w:hAnsi="宋体"/>
          <w:szCs w:val="21"/>
        </w:rPr>
        <w:t>2.我单位参与本工程投标，提交的投标文件真实可信。证件及有关附件是真实的，复印件与原件是一致的，绝无借资质、挂靠、提供虚假材料等违规现象；</w:t>
      </w:r>
    </w:p>
    <w:p w14:paraId="6C9E18A9">
      <w:pPr>
        <w:spacing w:line="480" w:lineRule="exact"/>
        <w:ind w:firstLine="420" w:firstLineChars="200"/>
        <w:jc w:val="left"/>
        <w:textAlignment w:val="baseline"/>
        <w:rPr>
          <w:rFonts w:ascii="宋体" w:hAnsi="宋体"/>
          <w:szCs w:val="21"/>
        </w:rPr>
      </w:pPr>
      <w:r>
        <w:rPr>
          <w:rFonts w:hint="eastAsia" w:ascii="宋体" w:hAnsi="宋体"/>
          <w:szCs w:val="21"/>
        </w:rPr>
        <w:t>3.我单位不参与任何串标围标等违法活动；</w:t>
      </w:r>
    </w:p>
    <w:p w14:paraId="72B53CBF">
      <w:pPr>
        <w:spacing w:line="480" w:lineRule="exact"/>
        <w:ind w:firstLine="420" w:firstLineChars="200"/>
        <w:jc w:val="left"/>
        <w:textAlignment w:val="baseline"/>
        <w:rPr>
          <w:rFonts w:ascii="宋体" w:hAnsi="宋体"/>
          <w:szCs w:val="21"/>
        </w:rPr>
      </w:pPr>
      <w:r>
        <w:rPr>
          <w:rFonts w:hint="eastAsia" w:ascii="宋体" w:hAnsi="宋体"/>
          <w:szCs w:val="21"/>
        </w:rPr>
        <w:t>4.若我单位未能兑现以上承诺，愿意接受投标保证金不予退还的处理；</w:t>
      </w:r>
    </w:p>
    <w:p w14:paraId="602AE4D5">
      <w:pPr>
        <w:spacing w:line="480" w:lineRule="exact"/>
        <w:ind w:firstLine="420" w:firstLineChars="200"/>
        <w:jc w:val="left"/>
        <w:textAlignment w:val="baseline"/>
        <w:rPr>
          <w:rFonts w:ascii="宋体" w:hAnsi="宋体"/>
          <w:szCs w:val="21"/>
        </w:rPr>
      </w:pPr>
      <w:r>
        <w:rPr>
          <w:rFonts w:hint="eastAsia" w:ascii="宋体" w:hAnsi="宋体"/>
          <w:szCs w:val="21"/>
        </w:rPr>
        <w:t>5.我单位遵守国家廉政相关规定，无失信、行贿等不良行为；</w:t>
      </w:r>
    </w:p>
    <w:p w14:paraId="0C242FC3">
      <w:pPr>
        <w:spacing w:line="480" w:lineRule="exact"/>
        <w:ind w:firstLine="420" w:firstLineChars="200"/>
        <w:jc w:val="left"/>
        <w:textAlignment w:val="baseline"/>
        <w:rPr>
          <w:rFonts w:ascii="宋体" w:hAnsi="宋体"/>
          <w:szCs w:val="21"/>
        </w:rPr>
      </w:pPr>
      <w:r>
        <w:rPr>
          <w:rFonts w:hint="eastAsia" w:ascii="宋体" w:hAnsi="宋体"/>
          <w:szCs w:val="21"/>
        </w:rPr>
        <w:t>6.我单位在投标文件递交截止时间当日，建筑业企业资质动态监管结果（指本项要求的资质）未处于不合格状态；</w:t>
      </w:r>
    </w:p>
    <w:p w14:paraId="297C42DB">
      <w:pPr>
        <w:spacing w:line="480" w:lineRule="exact"/>
        <w:ind w:firstLine="420" w:firstLineChars="200"/>
        <w:jc w:val="left"/>
        <w:textAlignment w:val="baseline"/>
        <w:rPr>
          <w:rFonts w:ascii="宋体" w:hAnsi="宋体"/>
          <w:szCs w:val="21"/>
        </w:rPr>
      </w:pPr>
      <w:r>
        <w:rPr>
          <w:rFonts w:hint="eastAsia" w:ascii="宋体" w:hAnsi="宋体"/>
          <w:szCs w:val="21"/>
        </w:rPr>
        <w:t>7.如中标，我单位将委派本公司所属的正式队伍进场；</w:t>
      </w:r>
    </w:p>
    <w:p w14:paraId="756F72CC">
      <w:pPr>
        <w:spacing w:line="480" w:lineRule="exact"/>
        <w:ind w:firstLine="420" w:firstLineChars="200"/>
        <w:jc w:val="left"/>
        <w:textAlignment w:val="baseline"/>
        <w:rPr>
          <w:rFonts w:hint="eastAsia" w:ascii="宋体" w:hAnsi="宋体" w:eastAsia="宋体"/>
          <w:szCs w:val="21"/>
          <w:lang w:eastAsia="zh-CN"/>
        </w:rPr>
      </w:pPr>
      <w:r>
        <w:rPr>
          <w:rFonts w:hint="eastAsia" w:ascii="宋体" w:hAnsi="宋体"/>
          <w:szCs w:val="21"/>
        </w:rPr>
        <w:t>8.如中标，我单位将按照投标文件中委派的项目总监、专业监理工程师及监理人员及时到位，且全面负责工作</w:t>
      </w:r>
      <w:r>
        <w:rPr>
          <w:rFonts w:hint="eastAsia" w:ascii="宋体" w:hAnsi="宋体"/>
          <w:szCs w:val="21"/>
          <w:lang w:eastAsia="zh-CN"/>
        </w:rPr>
        <w:t>。</w:t>
      </w:r>
    </w:p>
    <w:p w14:paraId="7C3796B9">
      <w:pPr>
        <w:spacing w:line="480" w:lineRule="exact"/>
        <w:ind w:firstLine="420" w:firstLineChars="200"/>
        <w:textAlignment w:val="baseline"/>
        <w:rPr>
          <w:rFonts w:ascii="宋体" w:hAnsi="宋体"/>
          <w:szCs w:val="21"/>
        </w:rPr>
      </w:pPr>
    </w:p>
    <w:p w14:paraId="46639771">
      <w:pPr>
        <w:spacing w:line="480" w:lineRule="exact"/>
        <w:ind w:firstLine="3465" w:firstLineChars="1650"/>
        <w:jc w:val="left"/>
        <w:textAlignment w:val="baseline"/>
        <w:rPr>
          <w:rFonts w:ascii="宋体" w:hAnsi="宋体"/>
          <w:szCs w:val="21"/>
        </w:rPr>
      </w:pPr>
      <w:r>
        <w:rPr>
          <w:rFonts w:hint="eastAsia" w:ascii="宋体" w:hAnsi="宋体"/>
          <w:szCs w:val="21"/>
        </w:rPr>
        <w:t xml:space="preserve">投标人（单位盖章）： </w:t>
      </w:r>
    </w:p>
    <w:p w14:paraId="52B00B3C">
      <w:pPr>
        <w:spacing w:line="480" w:lineRule="exact"/>
        <w:ind w:firstLine="3465" w:firstLineChars="1650"/>
        <w:jc w:val="left"/>
        <w:textAlignment w:val="baseline"/>
        <w:rPr>
          <w:rFonts w:ascii="宋体" w:hAnsi="宋体"/>
          <w:szCs w:val="21"/>
        </w:rPr>
      </w:pPr>
      <w:r>
        <w:rPr>
          <w:rFonts w:hint="eastAsia" w:ascii="宋体" w:hAnsi="宋体"/>
          <w:szCs w:val="21"/>
        </w:rPr>
        <w:t>法定代表人（签字或盖章）：</w:t>
      </w:r>
    </w:p>
    <w:p w14:paraId="43ACFA36">
      <w:pPr>
        <w:spacing w:line="480" w:lineRule="exact"/>
        <w:ind w:firstLine="4620" w:firstLineChars="2200"/>
        <w:textAlignment w:val="baseline"/>
        <w:rPr>
          <w:rFonts w:ascii="宋体" w:hAnsi="宋体"/>
          <w:szCs w:val="21"/>
        </w:rPr>
      </w:pPr>
      <w:r>
        <w:rPr>
          <w:rFonts w:hint="eastAsia" w:ascii="宋体" w:hAnsi="宋体"/>
          <w:szCs w:val="21"/>
        </w:rPr>
        <w:t>年</w:t>
      </w:r>
      <w:r>
        <w:rPr>
          <w:rFonts w:hint="eastAsia" w:ascii="宋体" w:hAnsi="宋体"/>
          <w:szCs w:val="21"/>
          <w:lang w:val="en-US" w:eastAsia="zh-CN"/>
        </w:rPr>
        <w:t xml:space="preserve"> </w:t>
      </w:r>
      <w:r>
        <w:rPr>
          <w:rFonts w:hint="eastAsia" w:ascii="宋体" w:hAnsi="宋体"/>
          <w:szCs w:val="21"/>
        </w:rPr>
        <w:t>月</w:t>
      </w:r>
      <w:r>
        <w:rPr>
          <w:rFonts w:hint="eastAsia" w:ascii="宋体" w:hAnsi="宋体"/>
          <w:szCs w:val="21"/>
          <w:lang w:val="en-US" w:eastAsia="zh-CN"/>
        </w:rPr>
        <w:t xml:space="preserve"> </w:t>
      </w:r>
      <w:r>
        <w:rPr>
          <w:rFonts w:hint="eastAsia" w:ascii="宋体" w:hAnsi="宋体"/>
          <w:szCs w:val="21"/>
        </w:rPr>
        <w:t>日</w:t>
      </w:r>
    </w:p>
    <w:p w14:paraId="06381DA9">
      <w:pPr>
        <w:spacing w:line="480" w:lineRule="exact"/>
        <w:ind w:firstLine="5280" w:firstLineChars="2200"/>
        <w:textAlignment w:val="baseline"/>
        <w:rPr>
          <w:rFonts w:ascii="宋体" w:hAnsi="宋体"/>
          <w:sz w:val="24"/>
        </w:rPr>
      </w:pPr>
    </w:p>
    <w:p w14:paraId="35E36CAC">
      <w:pPr>
        <w:spacing w:line="480" w:lineRule="exact"/>
        <w:ind w:firstLine="5280" w:firstLineChars="2200"/>
        <w:textAlignment w:val="baseline"/>
        <w:rPr>
          <w:rFonts w:ascii="宋体" w:hAnsi="宋体"/>
          <w:sz w:val="24"/>
        </w:rPr>
      </w:pPr>
    </w:p>
    <w:p w14:paraId="62FAA3EF">
      <w:pPr>
        <w:snapToGrid w:val="0"/>
        <w:spacing w:line="360" w:lineRule="auto"/>
        <w:rPr>
          <w:rFonts w:ascii="宋体" w:hAnsi="宋体"/>
        </w:rPr>
      </w:pPr>
    </w:p>
    <w:p w14:paraId="72BE13B8">
      <w:pPr>
        <w:snapToGrid w:val="0"/>
        <w:spacing w:line="360" w:lineRule="auto"/>
        <w:rPr>
          <w:rFonts w:ascii="宋体" w:hAnsi="宋体"/>
        </w:rPr>
      </w:pPr>
    </w:p>
    <w:p w14:paraId="7EDEC643">
      <w:pPr>
        <w:snapToGrid w:val="0"/>
        <w:spacing w:line="360" w:lineRule="auto"/>
        <w:rPr>
          <w:rFonts w:ascii="宋体" w:hAnsi="宋体"/>
          <w:sz w:val="30"/>
          <w:szCs w:val="30"/>
        </w:rPr>
      </w:pPr>
    </w:p>
    <w:p w14:paraId="19256EC7">
      <w:pPr>
        <w:snapToGrid w:val="0"/>
        <w:spacing w:line="360" w:lineRule="auto"/>
        <w:rPr>
          <w:rFonts w:ascii="宋体" w:hAnsi="宋体"/>
          <w:sz w:val="30"/>
          <w:szCs w:val="30"/>
        </w:rPr>
      </w:pPr>
    </w:p>
    <w:p w14:paraId="21C8F457">
      <w:pPr>
        <w:snapToGrid w:val="0"/>
        <w:spacing w:line="360" w:lineRule="auto"/>
        <w:rPr>
          <w:rFonts w:ascii="宋体" w:hAnsi="宋体"/>
          <w:sz w:val="30"/>
          <w:szCs w:val="30"/>
        </w:rPr>
      </w:pPr>
    </w:p>
    <w:p w14:paraId="494E055B">
      <w:pPr>
        <w:snapToGrid w:val="0"/>
        <w:spacing w:line="360" w:lineRule="auto"/>
        <w:rPr>
          <w:rFonts w:ascii="宋体" w:hAnsi="宋体"/>
          <w:sz w:val="30"/>
          <w:szCs w:val="30"/>
        </w:rPr>
      </w:pPr>
    </w:p>
    <w:p w14:paraId="37493ACD">
      <w:pPr>
        <w:jc w:val="center"/>
        <w:rPr>
          <w:b/>
          <w:bCs/>
          <w:sz w:val="32"/>
          <w:szCs w:val="32"/>
          <w:lang w:eastAsia="zh-CN"/>
        </w:rPr>
      </w:pPr>
      <w:r>
        <w:rPr>
          <w:rFonts w:hint="eastAsia" w:ascii="Times New Roman" w:hAnsi="Times New Roman" w:eastAsia="宋体" w:cs="Times New Roman"/>
          <w:b/>
          <w:bCs/>
          <w:sz w:val="32"/>
          <w:szCs w:val="32"/>
          <w:lang w:val="en-US" w:eastAsia="zh-CN"/>
        </w:rPr>
        <w:t>七、</w:t>
      </w:r>
      <w:r>
        <w:rPr>
          <w:rFonts w:hint="eastAsia"/>
          <w:b/>
          <w:bCs/>
          <w:sz w:val="32"/>
          <w:szCs w:val="32"/>
          <w:lang w:eastAsia="zh-CN"/>
        </w:rPr>
        <w:t>拟派项目总监无在监工程承诺书</w:t>
      </w:r>
    </w:p>
    <w:p w14:paraId="3D678EF5">
      <w:pPr>
        <w:jc w:val="center"/>
        <w:rPr>
          <w:b/>
          <w:bCs/>
          <w:sz w:val="30"/>
          <w:szCs w:val="30"/>
          <w:lang w:eastAsia="zh-CN"/>
        </w:rPr>
      </w:pPr>
    </w:p>
    <w:p w14:paraId="640C7B25">
      <w:pPr>
        <w:spacing w:line="360" w:lineRule="auto"/>
        <w:rPr>
          <w:rFonts w:hint="default"/>
          <w:sz w:val="21"/>
          <w:szCs w:val="21"/>
          <w:u w:val="single"/>
          <w:lang w:val="en-US" w:eastAsia="zh-CN"/>
        </w:rPr>
      </w:pPr>
      <w:r>
        <w:rPr>
          <w:rFonts w:hint="eastAsia"/>
          <w:b/>
          <w:bCs/>
          <w:sz w:val="21"/>
          <w:szCs w:val="21"/>
          <w:lang w:eastAsia="zh-CN"/>
        </w:rPr>
        <w:t>致：</w:t>
      </w:r>
      <w:r>
        <w:rPr>
          <w:rFonts w:hint="eastAsia" w:cs="宋体"/>
          <w:b/>
          <w:bCs/>
          <w:spacing w:val="-8"/>
          <w:sz w:val="21"/>
          <w:szCs w:val="21"/>
          <w:u w:val="single" w:color="000000"/>
          <w:lang w:val="en-US" w:eastAsia="zh-CN"/>
        </w:rPr>
        <w:t>南通浩宏市政工程有限公司</w:t>
      </w:r>
    </w:p>
    <w:p w14:paraId="5909889C">
      <w:pPr>
        <w:spacing w:line="360" w:lineRule="auto"/>
        <w:ind w:firstLine="420" w:firstLineChars="200"/>
        <w:rPr>
          <w:sz w:val="21"/>
          <w:szCs w:val="21"/>
          <w:lang w:eastAsia="zh-CN"/>
        </w:rPr>
      </w:pPr>
      <w:r>
        <w:rPr>
          <w:rFonts w:hint="eastAsia"/>
          <w:sz w:val="21"/>
          <w:szCs w:val="21"/>
          <w:lang w:eastAsia="zh-CN"/>
        </w:rPr>
        <w:t>兹有</w:t>
      </w:r>
      <w:r>
        <w:rPr>
          <w:rFonts w:hint="eastAsia"/>
          <w:sz w:val="21"/>
          <w:szCs w:val="21"/>
          <w:u w:val="single"/>
          <w:lang w:eastAsia="zh-CN"/>
        </w:rPr>
        <w:t>（投标人）</w:t>
      </w:r>
      <w:r>
        <w:rPr>
          <w:rFonts w:hint="eastAsia"/>
          <w:sz w:val="21"/>
          <w:szCs w:val="21"/>
          <w:lang w:eastAsia="zh-CN"/>
        </w:rPr>
        <w:t>参与贵司</w:t>
      </w:r>
      <w:r>
        <w:rPr>
          <w:rFonts w:hint="eastAsia"/>
          <w:sz w:val="21"/>
          <w:szCs w:val="21"/>
          <w:u w:val="single"/>
          <w:lang w:eastAsia="zh-CN"/>
        </w:rPr>
        <w:t>（项目名称）</w:t>
      </w:r>
      <w:r>
        <w:rPr>
          <w:rFonts w:hint="eastAsia"/>
          <w:sz w:val="21"/>
          <w:szCs w:val="21"/>
          <w:lang w:eastAsia="zh-CN"/>
        </w:rPr>
        <w:t>，拟派项目总监</w:t>
      </w:r>
      <w:r>
        <w:rPr>
          <w:rFonts w:hint="eastAsia"/>
          <w:sz w:val="21"/>
          <w:szCs w:val="21"/>
          <w:u w:val="single"/>
          <w:lang w:eastAsia="zh-CN"/>
        </w:rPr>
        <w:t>（姓名）</w:t>
      </w:r>
      <w:r>
        <w:rPr>
          <w:rFonts w:hint="eastAsia"/>
          <w:sz w:val="21"/>
          <w:szCs w:val="21"/>
          <w:lang w:eastAsia="zh-CN"/>
        </w:rPr>
        <w:t>。我司承诺：</w:t>
      </w:r>
    </w:p>
    <w:p w14:paraId="1ED7984A">
      <w:pPr>
        <w:spacing w:line="360" w:lineRule="auto"/>
        <w:ind w:firstLine="420" w:firstLineChars="200"/>
        <w:rPr>
          <w:sz w:val="21"/>
          <w:szCs w:val="21"/>
          <w:lang w:eastAsia="zh-CN"/>
        </w:rPr>
      </w:pPr>
      <w:r>
        <w:rPr>
          <w:rFonts w:hint="eastAsia"/>
          <w:sz w:val="21"/>
          <w:szCs w:val="21"/>
          <w:lang w:eastAsia="zh-CN"/>
        </w:rPr>
        <w:t>1.拟投入本项目总监无在监工程。</w:t>
      </w:r>
    </w:p>
    <w:p w14:paraId="50ACF48E">
      <w:pPr>
        <w:spacing w:line="360" w:lineRule="auto"/>
        <w:ind w:firstLine="420" w:firstLineChars="200"/>
        <w:rPr>
          <w:sz w:val="21"/>
          <w:szCs w:val="21"/>
          <w:lang w:eastAsia="zh-CN"/>
        </w:rPr>
      </w:pPr>
      <w:r>
        <w:rPr>
          <w:rFonts w:hint="eastAsia"/>
          <w:sz w:val="21"/>
          <w:szCs w:val="21"/>
          <w:lang w:eastAsia="zh-CN"/>
        </w:rPr>
        <w:t>2.如果我单位经本工程评标委员会评定为中标候选人，在公示期间被他人举报并经招标投标监管机构核实，确认拟派项目总监有在监工程的，招标人即可取消我单位中标候选人资格，并同意按投标保证金同等金额罚款。</w:t>
      </w:r>
    </w:p>
    <w:p w14:paraId="16B01ECA">
      <w:pPr>
        <w:spacing w:line="360" w:lineRule="auto"/>
        <w:ind w:right="-1"/>
        <w:rPr>
          <w:rFonts w:ascii="宋体"/>
          <w:sz w:val="21"/>
          <w:szCs w:val="21"/>
          <w:lang w:eastAsia="zh-CN"/>
        </w:rPr>
      </w:pPr>
    </w:p>
    <w:p w14:paraId="2C62B405">
      <w:pPr>
        <w:spacing w:line="360" w:lineRule="auto"/>
        <w:ind w:right="-1"/>
        <w:rPr>
          <w:rFonts w:ascii="宋体" w:eastAsia="宋体"/>
          <w:sz w:val="21"/>
          <w:szCs w:val="21"/>
          <w:lang w:eastAsia="zh-CN"/>
        </w:rPr>
      </w:pPr>
      <w:r>
        <w:rPr>
          <w:rFonts w:hint="eastAsia" w:ascii="宋体"/>
          <w:sz w:val="21"/>
          <w:szCs w:val="21"/>
          <w:lang w:eastAsia="zh-CN"/>
        </w:rPr>
        <w:t>投标人（盖章）：</w:t>
      </w:r>
    </w:p>
    <w:p w14:paraId="5C58B02E">
      <w:pPr>
        <w:tabs>
          <w:tab w:val="left" w:pos="4320"/>
        </w:tabs>
        <w:spacing w:line="360" w:lineRule="auto"/>
        <w:ind w:right="-1"/>
        <w:rPr>
          <w:rFonts w:ascii="宋体" w:eastAsia="宋体"/>
          <w:sz w:val="21"/>
          <w:szCs w:val="21"/>
          <w:lang w:eastAsia="zh-CN"/>
        </w:rPr>
      </w:pPr>
      <w:r>
        <w:rPr>
          <w:rFonts w:hint="eastAsia" w:ascii="宋体"/>
          <w:sz w:val="21"/>
          <w:szCs w:val="21"/>
          <w:lang w:eastAsia="zh-CN"/>
        </w:rPr>
        <w:t>法定代表人或其委托代理人（签字或盖章）：</w:t>
      </w:r>
    </w:p>
    <w:p w14:paraId="28947876">
      <w:pPr>
        <w:spacing w:line="360" w:lineRule="auto"/>
        <w:ind w:right="-1"/>
        <w:rPr>
          <w:rFonts w:cs="宋体"/>
          <w:spacing w:val="16"/>
          <w:lang w:eastAsia="zh-CN"/>
        </w:rPr>
      </w:pPr>
      <w:r>
        <w:rPr>
          <w:rFonts w:hint="eastAsia" w:ascii="宋体"/>
          <w:sz w:val="21"/>
          <w:szCs w:val="21"/>
          <w:lang w:eastAsia="zh-CN"/>
        </w:rPr>
        <w:t>年月日</w:t>
      </w:r>
    </w:p>
    <w:p w14:paraId="576A505E">
      <w:pPr>
        <w:tabs>
          <w:tab w:val="left" w:pos="4320"/>
        </w:tabs>
        <w:spacing w:line="360" w:lineRule="auto"/>
        <w:ind w:right="-1"/>
        <w:rPr>
          <w:rFonts w:ascii="宋体" w:hAnsi="Times New Roman" w:eastAsia="宋体" w:cs="Times New Roman"/>
          <w:lang w:eastAsia="zh-CN"/>
        </w:rPr>
      </w:pPr>
    </w:p>
    <w:p w14:paraId="71CAFA85">
      <w:pPr>
        <w:tabs>
          <w:tab w:val="left" w:pos="4320"/>
        </w:tabs>
        <w:spacing w:line="360" w:lineRule="auto"/>
        <w:ind w:right="-1" w:firstLine="210" w:firstLineChars="100"/>
        <w:rPr>
          <w:rFonts w:ascii="宋体" w:hAnsi="Times New Roman" w:eastAsia="宋体" w:cs="Times New Roman"/>
          <w:lang w:eastAsia="zh-CN"/>
        </w:rPr>
      </w:pPr>
      <w:r>
        <w:rPr>
          <w:rFonts w:hint="eastAsia" w:ascii="宋体" w:hAnsi="Times New Roman" w:eastAsia="宋体" w:cs="Times New Roman"/>
          <w:lang w:eastAsia="zh-CN"/>
        </w:rPr>
        <w:t>注：①拟派总监理工程师无在监工程，提供无在监工程承诺。</w:t>
      </w:r>
    </w:p>
    <w:p w14:paraId="05676AB4">
      <w:pPr>
        <w:tabs>
          <w:tab w:val="left" w:pos="4320"/>
        </w:tabs>
        <w:spacing w:line="360" w:lineRule="auto"/>
        <w:ind w:right="-1" w:firstLine="630" w:firstLineChars="300"/>
        <w:rPr>
          <w:rFonts w:hint="eastAsia" w:ascii="宋体" w:hAnsi="Times New Roman" w:eastAsia="宋体" w:cs="Times New Roman"/>
          <w:lang w:eastAsia="zh-CN"/>
        </w:rPr>
      </w:pPr>
      <w:r>
        <w:rPr>
          <w:rFonts w:hint="eastAsia" w:ascii="宋体" w:hAnsi="Times New Roman" w:eastAsia="宋体" w:cs="Times New Roman"/>
          <w:lang w:eastAsia="zh-CN"/>
        </w:rPr>
        <w:t>②拟派的总监理工程师有在监工程的（仅限南通市），按“江苏省住房和城乡建设厅《关于进一步加强全省监理人员从业管理的通知》（苏建建管【2014】100号）及其有关条款的补充通知”执行，且必须提供由原建设单位出具的“同意总监理工程师参加其他工程招投标活动”证明。“项目总监无在监工程承诺”无需提供。</w:t>
      </w:r>
    </w:p>
    <w:p w14:paraId="6D87B623">
      <w:pPr>
        <w:tabs>
          <w:tab w:val="left" w:pos="4320"/>
        </w:tabs>
        <w:spacing w:line="360" w:lineRule="auto"/>
        <w:ind w:right="-1" w:firstLine="630" w:firstLineChars="300"/>
      </w:pPr>
      <w:r>
        <w:rPr>
          <w:rFonts w:hint="eastAsia" w:ascii="宋体"/>
        </w:rPr>
        <w:t>③如本项目需办理施工许可证，确保拟派总监理工程师满足施工许可证办理要求；如不满足要求，无条件更换符合合同要求的总监理工程师并按合同接受违约处理。</w:t>
      </w:r>
    </w:p>
    <w:p w14:paraId="76CBBD9E">
      <w:pPr>
        <w:pStyle w:val="30"/>
      </w:pPr>
    </w:p>
    <w:p w14:paraId="3C0191EB">
      <w:pPr>
        <w:rPr>
          <w:rFonts w:hint="eastAsia" w:ascii="宋体" w:hAnsi="宋体" w:eastAsia="宋体"/>
          <w:sz w:val="24"/>
          <w:lang w:val="en-US" w:eastAsia="zh-CN"/>
        </w:rPr>
      </w:pPr>
    </w:p>
    <w:sectPr>
      <w:headerReference r:id="rId3" w:type="default"/>
      <w:footerReference r:id="rId4" w:type="default"/>
      <w:pgSz w:w="11906" w:h="16838"/>
      <w:pgMar w:top="1440" w:right="1531" w:bottom="1440"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swiss"/>
    <w:pitch w:val="default"/>
    <w:sig w:usb0="E00002FF" w:usb1="6AC7FDFB" w:usb2="08000012" w:usb3="00000000" w:csb0="4002009F" w:csb1="DFD7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A1898">
    <w:pPr>
      <w:pStyle w:val="11"/>
      <w:framePr w:wrap="around" w:vAnchor="text" w:hAnchor="margin" w:xAlign="center" w:y="1"/>
      <w:rPr>
        <w:rStyle w:val="18"/>
      </w:rPr>
    </w:pPr>
    <w:r>
      <w:fldChar w:fldCharType="begin"/>
    </w:r>
    <w:r>
      <w:rPr>
        <w:rStyle w:val="18"/>
      </w:rPr>
      <w:instrText xml:space="preserve">PAGE  </w:instrText>
    </w:r>
    <w:r>
      <w:fldChar w:fldCharType="separate"/>
    </w:r>
    <w:r>
      <w:rPr>
        <w:rStyle w:val="18"/>
      </w:rPr>
      <w:t>34</w:t>
    </w:r>
    <w:r>
      <w:fldChar w:fldCharType="end"/>
    </w:r>
  </w:p>
  <w:p w14:paraId="39DFD06F">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CBE3D">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3A93DF"/>
    <w:multiLevelType w:val="singleLevel"/>
    <w:tmpl w:val="983A93DF"/>
    <w:lvl w:ilvl="0" w:tentative="0">
      <w:start w:val="1"/>
      <w:numFmt w:val="decimalEnclosedCircleChinese"/>
      <w:suff w:val="nothing"/>
      <w:lvlText w:val="%1　"/>
      <w:lvlJc w:val="left"/>
      <w:pPr>
        <w:ind w:left="-116" w:firstLine="400"/>
      </w:pPr>
      <w:rPr>
        <w:rFonts w:hint="eastAsia"/>
      </w:rPr>
    </w:lvl>
  </w:abstractNum>
  <w:abstractNum w:abstractNumId="1">
    <w:nsid w:val="A7AB4776"/>
    <w:multiLevelType w:val="singleLevel"/>
    <w:tmpl w:val="A7AB4776"/>
    <w:lvl w:ilvl="0" w:tentative="0">
      <w:start w:val="1"/>
      <w:numFmt w:val="decimalEnclosedCircleChinese"/>
      <w:suff w:val="nothing"/>
      <w:lvlText w:val="%1　"/>
      <w:lvlJc w:val="left"/>
      <w:pPr>
        <w:ind w:left="0" w:firstLine="400"/>
      </w:pPr>
      <w:rPr>
        <w:rFonts w:hint="eastAsia"/>
      </w:rPr>
    </w:lvl>
  </w:abstractNum>
  <w:abstractNum w:abstractNumId="2">
    <w:nsid w:val="CA1CFF6F"/>
    <w:multiLevelType w:val="singleLevel"/>
    <w:tmpl w:val="CA1CFF6F"/>
    <w:lvl w:ilvl="0" w:tentative="0">
      <w:start w:val="1"/>
      <w:numFmt w:val="decimalEnclosedCircleChinese"/>
      <w:suff w:val="nothing"/>
      <w:lvlText w:val="%1　"/>
      <w:lvlJc w:val="left"/>
      <w:pPr>
        <w:ind w:left="0" w:firstLine="400"/>
      </w:pPr>
      <w:rPr>
        <w:rFonts w:hint="eastAsia"/>
      </w:rPr>
    </w:lvl>
  </w:abstractNum>
  <w:abstractNum w:abstractNumId="3">
    <w:nsid w:val="E285939F"/>
    <w:multiLevelType w:val="singleLevel"/>
    <w:tmpl w:val="E285939F"/>
    <w:lvl w:ilvl="0" w:tentative="0">
      <w:start w:val="1"/>
      <w:numFmt w:val="decimalEnclosedCircleChinese"/>
      <w:suff w:val="nothing"/>
      <w:lvlText w:val="%1　"/>
      <w:lvlJc w:val="left"/>
      <w:pPr>
        <w:ind w:left="0" w:firstLine="400"/>
      </w:pPr>
      <w:rPr>
        <w:rFonts w:hint="eastAsia"/>
      </w:rPr>
    </w:lvl>
  </w:abstractNum>
  <w:abstractNum w:abstractNumId="4">
    <w:nsid w:val="051C7B37"/>
    <w:multiLevelType w:val="singleLevel"/>
    <w:tmpl w:val="051C7B37"/>
    <w:lvl w:ilvl="0" w:tentative="0">
      <w:start w:val="1"/>
      <w:numFmt w:val="decimal"/>
      <w:suff w:val="nothing"/>
      <w:lvlText w:val="（%1）"/>
      <w:lvlJc w:val="left"/>
    </w:lvl>
  </w:abstractNum>
  <w:abstractNum w:abstractNumId="5">
    <w:nsid w:val="0D8C0367"/>
    <w:multiLevelType w:val="singleLevel"/>
    <w:tmpl w:val="0D8C0367"/>
    <w:lvl w:ilvl="0" w:tentative="0">
      <w:start w:val="1"/>
      <w:numFmt w:val="decimalEnclosedCircleChinese"/>
      <w:suff w:val="nothing"/>
      <w:lvlText w:val="%1　"/>
      <w:lvlJc w:val="left"/>
      <w:pPr>
        <w:ind w:left="-258" w:firstLine="400"/>
      </w:pPr>
      <w:rPr>
        <w:rFonts w:hint="eastAsia"/>
      </w:rPr>
    </w:lvl>
  </w:abstractNum>
  <w:abstractNum w:abstractNumId="6">
    <w:nsid w:val="277D2C6D"/>
    <w:multiLevelType w:val="multilevel"/>
    <w:tmpl w:val="277D2C6D"/>
    <w:lvl w:ilvl="0" w:tentative="0">
      <w:start w:val="1"/>
      <w:numFmt w:val="decimal"/>
      <w:lvlText w:val="（%1）"/>
      <w:lvlJc w:val="left"/>
      <w:pPr>
        <w:ind w:left="720" w:hanging="72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B392A2A"/>
    <w:multiLevelType w:val="multilevel"/>
    <w:tmpl w:val="3B392A2A"/>
    <w:lvl w:ilvl="0" w:tentative="0">
      <w:start w:val="2"/>
      <w:numFmt w:val="japaneseCounting"/>
      <w:lvlText w:val="第%1章"/>
      <w:lvlJc w:val="left"/>
      <w:pPr>
        <w:tabs>
          <w:tab w:val="left" w:pos="1290"/>
        </w:tabs>
        <w:ind w:left="1290" w:hanging="129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5C48CDC7"/>
    <w:multiLevelType w:val="singleLevel"/>
    <w:tmpl w:val="5C48CDC7"/>
    <w:lvl w:ilvl="0" w:tentative="0">
      <w:start w:val="1"/>
      <w:numFmt w:val="decimalEnclosedCircleChinese"/>
      <w:suff w:val="nothing"/>
      <w:lvlText w:val="%1　"/>
      <w:lvlJc w:val="left"/>
      <w:pPr>
        <w:ind w:left="26" w:firstLine="400"/>
      </w:pPr>
      <w:rPr>
        <w:rFonts w:hint="eastAsia"/>
      </w:rPr>
    </w:lvl>
  </w:abstractNum>
  <w:abstractNum w:abstractNumId="9">
    <w:nsid w:val="640C601B"/>
    <w:multiLevelType w:val="multilevel"/>
    <w:tmpl w:val="640C601B"/>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39"/>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0">
    <w:nsid w:val="6782A457"/>
    <w:multiLevelType w:val="singleLevel"/>
    <w:tmpl w:val="6782A457"/>
    <w:lvl w:ilvl="0" w:tentative="0">
      <w:start w:val="1"/>
      <w:numFmt w:val="decimalEnclosedCircleChinese"/>
      <w:suff w:val="nothing"/>
      <w:lvlText w:val="%1　"/>
      <w:lvlJc w:val="left"/>
      <w:pPr>
        <w:ind w:left="0" w:firstLine="400"/>
      </w:pPr>
      <w:rPr>
        <w:rFonts w:hint="eastAsia"/>
      </w:rPr>
    </w:lvl>
  </w:abstractNum>
  <w:abstractNum w:abstractNumId="11">
    <w:nsid w:val="75068BAF"/>
    <w:multiLevelType w:val="singleLevel"/>
    <w:tmpl w:val="75068BAF"/>
    <w:lvl w:ilvl="0" w:tentative="0">
      <w:start w:val="2"/>
      <w:numFmt w:val="decimal"/>
      <w:suff w:val="nothing"/>
      <w:lvlText w:val="%1、"/>
      <w:lvlJc w:val="left"/>
    </w:lvl>
  </w:abstractNum>
  <w:abstractNum w:abstractNumId="12">
    <w:nsid w:val="7C93645A"/>
    <w:multiLevelType w:val="multilevel"/>
    <w:tmpl w:val="7C93645A"/>
    <w:lvl w:ilvl="0" w:tentative="0">
      <w:start w:val="1"/>
      <w:numFmt w:val="decimal"/>
      <w:lvlText w:val="%1"/>
      <w:lvlJc w:val="left"/>
      <w:pPr>
        <w:ind w:left="993" w:hanging="567"/>
      </w:pPr>
      <w:rPr>
        <w:rFonts w:hint="eastAsia" w:eastAsia="宋体"/>
        <w:sz w:val="24"/>
      </w:rPr>
    </w:lvl>
    <w:lvl w:ilvl="1" w:tentative="0">
      <w:start w:val="1"/>
      <w:numFmt w:val="decimal"/>
      <w:pStyle w:val="32"/>
      <w:suff w:val="space"/>
      <w:lvlText w:val="%1.%2"/>
      <w:lvlJc w:val="left"/>
      <w:pPr>
        <w:ind w:left="1418" w:hanging="567"/>
      </w:pPr>
      <w:rPr>
        <w:rFonts w:hint="eastAsia" w:eastAsia="宋体"/>
        <w:color w:val="auto"/>
        <w:sz w:val="24"/>
      </w:rPr>
    </w:lvl>
    <w:lvl w:ilvl="2" w:tentative="0">
      <w:start w:val="1"/>
      <w:numFmt w:val="decimal"/>
      <w:lvlText w:val="%1.%2.%3"/>
      <w:lvlJc w:val="left"/>
      <w:pPr>
        <w:ind w:left="5246" w:hanging="567"/>
      </w:pPr>
      <w:rPr>
        <w:rFonts w:hint="eastAsia" w:eastAsia="宋体"/>
        <w:sz w:val="24"/>
      </w:rPr>
    </w:lvl>
    <w:lvl w:ilvl="3" w:tentative="0">
      <w:start w:val="1"/>
      <w:numFmt w:val="decimal"/>
      <w:lvlText w:val="(%4)"/>
      <w:lvlJc w:val="left"/>
      <w:pPr>
        <w:ind w:left="5812" w:hanging="708"/>
      </w:pPr>
      <w:rPr>
        <w:rFonts w:hint="eastAsia" w:eastAsia="宋体"/>
        <w:sz w:val="24"/>
      </w:rPr>
    </w:lvl>
    <w:lvl w:ilvl="4" w:tentative="0">
      <w:start w:val="1"/>
      <w:numFmt w:val="decimal"/>
      <w:lvlText w:val="%1.%2.%3.%4.%5"/>
      <w:lvlJc w:val="left"/>
      <w:pPr>
        <w:ind w:left="6379" w:hanging="850"/>
      </w:pPr>
      <w:rPr>
        <w:rFonts w:hint="eastAsia"/>
      </w:rPr>
    </w:lvl>
    <w:lvl w:ilvl="5" w:tentative="0">
      <w:start w:val="1"/>
      <w:numFmt w:val="decimal"/>
      <w:lvlText w:val="%1.%2.%3.%4.%5.%6"/>
      <w:lvlJc w:val="left"/>
      <w:pPr>
        <w:ind w:left="7088" w:hanging="1134"/>
      </w:pPr>
      <w:rPr>
        <w:rFonts w:hint="eastAsia"/>
      </w:rPr>
    </w:lvl>
    <w:lvl w:ilvl="6" w:tentative="0">
      <w:start w:val="1"/>
      <w:numFmt w:val="decimal"/>
      <w:lvlText w:val="%1.%2.%3.%4.%5.%6.%7"/>
      <w:lvlJc w:val="left"/>
      <w:pPr>
        <w:ind w:left="7655" w:hanging="1276"/>
      </w:pPr>
      <w:rPr>
        <w:rFonts w:hint="eastAsia"/>
      </w:rPr>
    </w:lvl>
    <w:lvl w:ilvl="7" w:tentative="0">
      <w:start w:val="1"/>
      <w:numFmt w:val="decimal"/>
      <w:lvlText w:val="%1.%2.%3.%4.%5.%6.%7.%8"/>
      <w:lvlJc w:val="left"/>
      <w:pPr>
        <w:ind w:left="8222" w:hanging="1418"/>
      </w:pPr>
      <w:rPr>
        <w:rFonts w:hint="eastAsia"/>
      </w:rPr>
    </w:lvl>
    <w:lvl w:ilvl="8" w:tentative="0">
      <w:start w:val="1"/>
      <w:numFmt w:val="decimal"/>
      <w:lvlText w:val="%1.%2.%3.%4.%5.%6.%7.%8.%9"/>
      <w:lvlJc w:val="left"/>
      <w:pPr>
        <w:ind w:left="8930" w:hanging="1700"/>
      </w:pPr>
      <w:rPr>
        <w:rFonts w:hint="eastAsia"/>
      </w:rPr>
    </w:lvl>
  </w:abstractNum>
  <w:abstractNum w:abstractNumId="13">
    <w:nsid w:val="7D0DA06E"/>
    <w:multiLevelType w:val="singleLevel"/>
    <w:tmpl w:val="7D0DA06E"/>
    <w:lvl w:ilvl="0" w:tentative="0">
      <w:start w:val="1"/>
      <w:numFmt w:val="decimal"/>
      <w:lvlText w:val="%1."/>
      <w:lvlJc w:val="left"/>
      <w:pPr>
        <w:tabs>
          <w:tab w:val="left" w:pos="312"/>
        </w:tabs>
      </w:pPr>
    </w:lvl>
  </w:abstractNum>
  <w:num w:numId="1">
    <w:abstractNumId w:val="12"/>
  </w:num>
  <w:num w:numId="2">
    <w:abstractNumId w:val="9"/>
  </w:num>
  <w:num w:numId="3">
    <w:abstractNumId w:val="7"/>
  </w:num>
  <w:num w:numId="4">
    <w:abstractNumId w:val="6"/>
  </w:num>
  <w:num w:numId="5">
    <w:abstractNumId w:val="13"/>
  </w:num>
  <w:num w:numId="6">
    <w:abstractNumId w:val="11"/>
  </w:num>
  <w:num w:numId="7">
    <w:abstractNumId w:val="4"/>
  </w:num>
  <w:num w:numId="8">
    <w:abstractNumId w:val="8"/>
  </w:num>
  <w:num w:numId="9">
    <w:abstractNumId w:val="3"/>
  </w:num>
  <w:num w:numId="10">
    <w:abstractNumId w:val="0"/>
  </w:num>
  <w:num w:numId="11">
    <w:abstractNumId w:val="10"/>
  </w:num>
  <w:num w:numId="12">
    <w:abstractNumId w:val="1"/>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EC82112"/>
    <w:rsid w:val="00000168"/>
    <w:rsid w:val="00002918"/>
    <w:rsid w:val="00006B16"/>
    <w:rsid w:val="0001359E"/>
    <w:rsid w:val="00013A77"/>
    <w:rsid w:val="00014B36"/>
    <w:rsid w:val="000156C5"/>
    <w:rsid w:val="0001599D"/>
    <w:rsid w:val="00020C08"/>
    <w:rsid w:val="00021F19"/>
    <w:rsid w:val="00027249"/>
    <w:rsid w:val="00031F12"/>
    <w:rsid w:val="00033AA8"/>
    <w:rsid w:val="000352D5"/>
    <w:rsid w:val="0003660B"/>
    <w:rsid w:val="0004142A"/>
    <w:rsid w:val="0004220A"/>
    <w:rsid w:val="00043F8B"/>
    <w:rsid w:val="00045A85"/>
    <w:rsid w:val="00045D9E"/>
    <w:rsid w:val="000508F9"/>
    <w:rsid w:val="000516F5"/>
    <w:rsid w:val="0005245C"/>
    <w:rsid w:val="0005365C"/>
    <w:rsid w:val="00054F1D"/>
    <w:rsid w:val="00055784"/>
    <w:rsid w:val="0006564D"/>
    <w:rsid w:val="000657E8"/>
    <w:rsid w:val="00072389"/>
    <w:rsid w:val="00073058"/>
    <w:rsid w:val="000732FC"/>
    <w:rsid w:val="000752CA"/>
    <w:rsid w:val="000777F8"/>
    <w:rsid w:val="000813BD"/>
    <w:rsid w:val="00082BD3"/>
    <w:rsid w:val="00082BFB"/>
    <w:rsid w:val="00085526"/>
    <w:rsid w:val="00086AE8"/>
    <w:rsid w:val="000924E2"/>
    <w:rsid w:val="00092BBD"/>
    <w:rsid w:val="00092D61"/>
    <w:rsid w:val="00093A6F"/>
    <w:rsid w:val="0009462D"/>
    <w:rsid w:val="00094E6B"/>
    <w:rsid w:val="000A03EB"/>
    <w:rsid w:val="000A0659"/>
    <w:rsid w:val="000A2B9A"/>
    <w:rsid w:val="000A4D44"/>
    <w:rsid w:val="000A6359"/>
    <w:rsid w:val="000A75B0"/>
    <w:rsid w:val="000B05CC"/>
    <w:rsid w:val="000B4031"/>
    <w:rsid w:val="000B6E8B"/>
    <w:rsid w:val="000C2152"/>
    <w:rsid w:val="000C246D"/>
    <w:rsid w:val="000C35AB"/>
    <w:rsid w:val="000C74BE"/>
    <w:rsid w:val="000D29DB"/>
    <w:rsid w:val="000D6E92"/>
    <w:rsid w:val="000E0499"/>
    <w:rsid w:val="000E201D"/>
    <w:rsid w:val="000E2DDD"/>
    <w:rsid w:val="000E2EB9"/>
    <w:rsid w:val="000E4006"/>
    <w:rsid w:val="000F04C1"/>
    <w:rsid w:val="000F1006"/>
    <w:rsid w:val="000F2780"/>
    <w:rsid w:val="000F2817"/>
    <w:rsid w:val="000F31E1"/>
    <w:rsid w:val="000F5250"/>
    <w:rsid w:val="00101CDA"/>
    <w:rsid w:val="00102777"/>
    <w:rsid w:val="00103364"/>
    <w:rsid w:val="00104D57"/>
    <w:rsid w:val="00104E06"/>
    <w:rsid w:val="001056CB"/>
    <w:rsid w:val="00113275"/>
    <w:rsid w:val="0011419A"/>
    <w:rsid w:val="001154B4"/>
    <w:rsid w:val="00117B85"/>
    <w:rsid w:val="00117E56"/>
    <w:rsid w:val="0012207E"/>
    <w:rsid w:val="00130249"/>
    <w:rsid w:val="00130821"/>
    <w:rsid w:val="00130BF6"/>
    <w:rsid w:val="00132F49"/>
    <w:rsid w:val="0013312F"/>
    <w:rsid w:val="00134EB7"/>
    <w:rsid w:val="00135906"/>
    <w:rsid w:val="00141DE5"/>
    <w:rsid w:val="00142C81"/>
    <w:rsid w:val="001431DB"/>
    <w:rsid w:val="00144EBD"/>
    <w:rsid w:val="00147C9B"/>
    <w:rsid w:val="00150F17"/>
    <w:rsid w:val="00151D17"/>
    <w:rsid w:val="00152175"/>
    <w:rsid w:val="00156702"/>
    <w:rsid w:val="00156B4D"/>
    <w:rsid w:val="001619D0"/>
    <w:rsid w:val="00164BD5"/>
    <w:rsid w:val="00167091"/>
    <w:rsid w:val="001676B1"/>
    <w:rsid w:val="00173716"/>
    <w:rsid w:val="0017448B"/>
    <w:rsid w:val="00175C80"/>
    <w:rsid w:val="001800CB"/>
    <w:rsid w:val="00180121"/>
    <w:rsid w:val="00181407"/>
    <w:rsid w:val="0018145C"/>
    <w:rsid w:val="0018265F"/>
    <w:rsid w:val="001853F7"/>
    <w:rsid w:val="00185EEA"/>
    <w:rsid w:val="00186A92"/>
    <w:rsid w:val="00190112"/>
    <w:rsid w:val="00190530"/>
    <w:rsid w:val="001922CE"/>
    <w:rsid w:val="00193687"/>
    <w:rsid w:val="00194790"/>
    <w:rsid w:val="001949D1"/>
    <w:rsid w:val="001977FA"/>
    <w:rsid w:val="001A04C3"/>
    <w:rsid w:val="001A3036"/>
    <w:rsid w:val="001A48BD"/>
    <w:rsid w:val="001C2847"/>
    <w:rsid w:val="001C7D48"/>
    <w:rsid w:val="001C7E37"/>
    <w:rsid w:val="001D0EBD"/>
    <w:rsid w:val="001D1ADB"/>
    <w:rsid w:val="001D3BDF"/>
    <w:rsid w:val="001D4727"/>
    <w:rsid w:val="001D5771"/>
    <w:rsid w:val="001D72B0"/>
    <w:rsid w:val="001D7401"/>
    <w:rsid w:val="001F0E8B"/>
    <w:rsid w:val="0020075A"/>
    <w:rsid w:val="00200958"/>
    <w:rsid w:val="002036DE"/>
    <w:rsid w:val="00203D15"/>
    <w:rsid w:val="00210140"/>
    <w:rsid w:val="002105C7"/>
    <w:rsid w:val="00210F24"/>
    <w:rsid w:val="002144E1"/>
    <w:rsid w:val="00227903"/>
    <w:rsid w:val="0023032C"/>
    <w:rsid w:val="00230359"/>
    <w:rsid w:val="002325A8"/>
    <w:rsid w:val="0023360E"/>
    <w:rsid w:val="00234BCC"/>
    <w:rsid w:val="002356D9"/>
    <w:rsid w:val="00235A39"/>
    <w:rsid w:val="002371D5"/>
    <w:rsid w:val="00237E5C"/>
    <w:rsid w:val="00243659"/>
    <w:rsid w:val="00244AD1"/>
    <w:rsid w:val="00244E86"/>
    <w:rsid w:val="00253206"/>
    <w:rsid w:val="00255EFB"/>
    <w:rsid w:val="00263113"/>
    <w:rsid w:val="00263D0D"/>
    <w:rsid w:val="00264741"/>
    <w:rsid w:val="00266EE7"/>
    <w:rsid w:val="002705B8"/>
    <w:rsid w:val="00271133"/>
    <w:rsid w:val="0027294E"/>
    <w:rsid w:val="00272B28"/>
    <w:rsid w:val="00275D6F"/>
    <w:rsid w:val="002769DE"/>
    <w:rsid w:val="00284505"/>
    <w:rsid w:val="00287A5C"/>
    <w:rsid w:val="00292115"/>
    <w:rsid w:val="00292F25"/>
    <w:rsid w:val="002953BD"/>
    <w:rsid w:val="00296151"/>
    <w:rsid w:val="002A21E7"/>
    <w:rsid w:val="002A4F63"/>
    <w:rsid w:val="002A5EE3"/>
    <w:rsid w:val="002A6D72"/>
    <w:rsid w:val="002B3907"/>
    <w:rsid w:val="002B4BAA"/>
    <w:rsid w:val="002B5024"/>
    <w:rsid w:val="002B50A1"/>
    <w:rsid w:val="002B536E"/>
    <w:rsid w:val="002B5C06"/>
    <w:rsid w:val="002B78A2"/>
    <w:rsid w:val="002C1436"/>
    <w:rsid w:val="002C25BB"/>
    <w:rsid w:val="002C2797"/>
    <w:rsid w:val="002C39B3"/>
    <w:rsid w:val="002C4EDB"/>
    <w:rsid w:val="002C5A0E"/>
    <w:rsid w:val="002C6752"/>
    <w:rsid w:val="002C76C0"/>
    <w:rsid w:val="002C7F0E"/>
    <w:rsid w:val="002D1C31"/>
    <w:rsid w:val="002D25EE"/>
    <w:rsid w:val="002D294F"/>
    <w:rsid w:val="002D41DB"/>
    <w:rsid w:val="002D441A"/>
    <w:rsid w:val="002D68D5"/>
    <w:rsid w:val="002D6CE0"/>
    <w:rsid w:val="002E02DE"/>
    <w:rsid w:val="002E0C84"/>
    <w:rsid w:val="002E2F40"/>
    <w:rsid w:val="002E334A"/>
    <w:rsid w:val="002E3A9A"/>
    <w:rsid w:val="002E6FCD"/>
    <w:rsid w:val="002E7548"/>
    <w:rsid w:val="002F7E55"/>
    <w:rsid w:val="00300399"/>
    <w:rsid w:val="00302133"/>
    <w:rsid w:val="00303170"/>
    <w:rsid w:val="00303F86"/>
    <w:rsid w:val="00314E88"/>
    <w:rsid w:val="003157F5"/>
    <w:rsid w:val="00316475"/>
    <w:rsid w:val="0031680F"/>
    <w:rsid w:val="003179D2"/>
    <w:rsid w:val="003200D4"/>
    <w:rsid w:val="00320976"/>
    <w:rsid w:val="00324334"/>
    <w:rsid w:val="0032637C"/>
    <w:rsid w:val="003275C6"/>
    <w:rsid w:val="00327C41"/>
    <w:rsid w:val="00330283"/>
    <w:rsid w:val="00330F80"/>
    <w:rsid w:val="003316D1"/>
    <w:rsid w:val="003326BC"/>
    <w:rsid w:val="00333691"/>
    <w:rsid w:val="003354A0"/>
    <w:rsid w:val="00336DBC"/>
    <w:rsid w:val="0034162C"/>
    <w:rsid w:val="003431F6"/>
    <w:rsid w:val="0035488E"/>
    <w:rsid w:val="00356160"/>
    <w:rsid w:val="00357168"/>
    <w:rsid w:val="00361BAA"/>
    <w:rsid w:val="00364CEC"/>
    <w:rsid w:val="003661F3"/>
    <w:rsid w:val="00367145"/>
    <w:rsid w:val="00372773"/>
    <w:rsid w:val="003728B4"/>
    <w:rsid w:val="00373909"/>
    <w:rsid w:val="00374B07"/>
    <w:rsid w:val="0037545F"/>
    <w:rsid w:val="00380C15"/>
    <w:rsid w:val="00380ED2"/>
    <w:rsid w:val="0038297C"/>
    <w:rsid w:val="00382B58"/>
    <w:rsid w:val="003832E9"/>
    <w:rsid w:val="00383B44"/>
    <w:rsid w:val="00383C21"/>
    <w:rsid w:val="00385455"/>
    <w:rsid w:val="003855AD"/>
    <w:rsid w:val="003855D8"/>
    <w:rsid w:val="00386987"/>
    <w:rsid w:val="00387909"/>
    <w:rsid w:val="003904CD"/>
    <w:rsid w:val="00392C7C"/>
    <w:rsid w:val="003958D8"/>
    <w:rsid w:val="00395FD3"/>
    <w:rsid w:val="003A060A"/>
    <w:rsid w:val="003A0F60"/>
    <w:rsid w:val="003A5855"/>
    <w:rsid w:val="003A585E"/>
    <w:rsid w:val="003A6032"/>
    <w:rsid w:val="003A7151"/>
    <w:rsid w:val="003A7190"/>
    <w:rsid w:val="003B08CA"/>
    <w:rsid w:val="003B1442"/>
    <w:rsid w:val="003B6190"/>
    <w:rsid w:val="003B63B4"/>
    <w:rsid w:val="003B6E3E"/>
    <w:rsid w:val="003B7D0B"/>
    <w:rsid w:val="003C2F80"/>
    <w:rsid w:val="003C47F0"/>
    <w:rsid w:val="003C79B6"/>
    <w:rsid w:val="003D0D14"/>
    <w:rsid w:val="003D11EE"/>
    <w:rsid w:val="003D1843"/>
    <w:rsid w:val="003D1D89"/>
    <w:rsid w:val="003D1E18"/>
    <w:rsid w:val="003D3E9D"/>
    <w:rsid w:val="003E0832"/>
    <w:rsid w:val="003F035A"/>
    <w:rsid w:val="003F7A40"/>
    <w:rsid w:val="004011DC"/>
    <w:rsid w:val="004032F9"/>
    <w:rsid w:val="004048B5"/>
    <w:rsid w:val="00405047"/>
    <w:rsid w:val="004069E9"/>
    <w:rsid w:val="00407206"/>
    <w:rsid w:val="00407593"/>
    <w:rsid w:val="004079DC"/>
    <w:rsid w:val="00407C6D"/>
    <w:rsid w:val="00410B0E"/>
    <w:rsid w:val="00411EB4"/>
    <w:rsid w:val="0041528E"/>
    <w:rsid w:val="0041588C"/>
    <w:rsid w:val="004169C5"/>
    <w:rsid w:val="00426170"/>
    <w:rsid w:val="00426E8D"/>
    <w:rsid w:val="004303D7"/>
    <w:rsid w:val="00433AF5"/>
    <w:rsid w:val="0043453B"/>
    <w:rsid w:val="00435E63"/>
    <w:rsid w:val="00441210"/>
    <w:rsid w:val="00443AFA"/>
    <w:rsid w:val="00452B2B"/>
    <w:rsid w:val="00456E57"/>
    <w:rsid w:val="0045730F"/>
    <w:rsid w:val="00460CC5"/>
    <w:rsid w:val="0046173F"/>
    <w:rsid w:val="00463AAC"/>
    <w:rsid w:val="0046693E"/>
    <w:rsid w:val="00467123"/>
    <w:rsid w:val="004720B0"/>
    <w:rsid w:val="00472D49"/>
    <w:rsid w:val="00481B33"/>
    <w:rsid w:val="004838EC"/>
    <w:rsid w:val="0048461F"/>
    <w:rsid w:val="00484A24"/>
    <w:rsid w:val="00487FB9"/>
    <w:rsid w:val="00493424"/>
    <w:rsid w:val="00493AB8"/>
    <w:rsid w:val="00494FF2"/>
    <w:rsid w:val="00495806"/>
    <w:rsid w:val="00497B1F"/>
    <w:rsid w:val="00497F78"/>
    <w:rsid w:val="004A0183"/>
    <w:rsid w:val="004A0FE4"/>
    <w:rsid w:val="004A23E1"/>
    <w:rsid w:val="004A2C0A"/>
    <w:rsid w:val="004A32F8"/>
    <w:rsid w:val="004B0208"/>
    <w:rsid w:val="004B0B2B"/>
    <w:rsid w:val="004B1E06"/>
    <w:rsid w:val="004B52DF"/>
    <w:rsid w:val="004B6511"/>
    <w:rsid w:val="004C042D"/>
    <w:rsid w:val="004C398A"/>
    <w:rsid w:val="004C44AB"/>
    <w:rsid w:val="004C6899"/>
    <w:rsid w:val="004D3282"/>
    <w:rsid w:val="004D3BB4"/>
    <w:rsid w:val="004D7BDF"/>
    <w:rsid w:val="004E2177"/>
    <w:rsid w:val="004E525C"/>
    <w:rsid w:val="004E5581"/>
    <w:rsid w:val="004E5C71"/>
    <w:rsid w:val="004E6852"/>
    <w:rsid w:val="004F0427"/>
    <w:rsid w:val="004F39A9"/>
    <w:rsid w:val="004F5B91"/>
    <w:rsid w:val="004F746F"/>
    <w:rsid w:val="0050001B"/>
    <w:rsid w:val="00504A65"/>
    <w:rsid w:val="005066F4"/>
    <w:rsid w:val="00507A9F"/>
    <w:rsid w:val="005104E3"/>
    <w:rsid w:val="00510806"/>
    <w:rsid w:val="00510BFB"/>
    <w:rsid w:val="00512A8D"/>
    <w:rsid w:val="00513726"/>
    <w:rsid w:val="00513B52"/>
    <w:rsid w:val="00522DED"/>
    <w:rsid w:val="00524FCD"/>
    <w:rsid w:val="00527B63"/>
    <w:rsid w:val="0053176D"/>
    <w:rsid w:val="00532EA9"/>
    <w:rsid w:val="0053374D"/>
    <w:rsid w:val="00533A2E"/>
    <w:rsid w:val="00533BC9"/>
    <w:rsid w:val="00533DDC"/>
    <w:rsid w:val="00542D5D"/>
    <w:rsid w:val="00545A6F"/>
    <w:rsid w:val="00551D3E"/>
    <w:rsid w:val="00552A5F"/>
    <w:rsid w:val="00553F85"/>
    <w:rsid w:val="0055488D"/>
    <w:rsid w:val="005548CE"/>
    <w:rsid w:val="00555F91"/>
    <w:rsid w:val="00561624"/>
    <w:rsid w:val="0056295C"/>
    <w:rsid w:val="005655B0"/>
    <w:rsid w:val="00566A17"/>
    <w:rsid w:val="005679C6"/>
    <w:rsid w:val="00572D3B"/>
    <w:rsid w:val="00572EE0"/>
    <w:rsid w:val="00574E09"/>
    <w:rsid w:val="005776A7"/>
    <w:rsid w:val="00580B35"/>
    <w:rsid w:val="005819BE"/>
    <w:rsid w:val="0058310C"/>
    <w:rsid w:val="00583E54"/>
    <w:rsid w:val="00585CF8"/>
    <w:rsid w:val="00586A7F"/>
    <w:rsid w:val="00587E0F"/>
    <w:rsid w:val="00591689"/>
    <w:rsid w:val="005A0DB9"/>
    <w:rsid w:val="005A513C"/>
    <w:rsid w:val="005A62DA"/>
    <w:rsid w:val="005C0483"/>
    <w:rsid w:val="005C3139"/>
    <w:rsid w:val="005C5548"/>
    <w:rsid w:val="005C5A17"/>
    <w:rsid w:val="005C5E5C"/>
    <w:rsid w:val="005C6019"/>
    <w:rsid w:val="005C660C"/>
    <w:rsid w:val="005D03E3"/>
    <w:rsid w:val="005D7DAB"/>
    <w:rsid w:val="005E0EE9"/>
    <w:rsid w:val="005E1660"/>
    <w:rsid w:val="005E2342"/>
    <w:rsid w:val="005E271D"/>
    <w:rsid w:val="005E418C"/>
    <w:rsid w:val="005E7C61"/>
    <w:rsid w:val="005F05A2"/>
    <w:rsid w:val="005F1995"/>
    <w:rsid w:val="005F2285"/>
    <w:rsid w:val="005F4834"/>
    <w:rsid w:val="005F4ECD"/>
    <w:rsid w:val="005F5103"/>
    <w:rsid w:val="005F5B35"/>
    <w:rsid w:val="00600A9F"/>
    <w:rsid w:val="00604D78"/>
    <w:rsid w:val="00605FC7"/>
    <w:rsid w:val="00606190"/>
    <w:rsid w:val="00607097"/>
    <w:rsid w:val="006076CF"/>
    <w:rsid w:val="006121F4"/>
    <w:rsid w:val="0061502B"/>
    <w:rsid w:val="00616D3E"/>
    <w:rsid w:val="006232E8"/>
    <w:rsid w:val="006236E3"/>
    <w:rsid w:val="00626AED"/>
    <w:rsid w:val="00630EF9"/>
    <w:rsid w:val="00637D26"/>
    <w:rsid w:val="00641803"/>
    <w:rsid w:val="006427F9"/>
    <w:rsid w:val="006427FB"/>
    <w:rsid w:val="006430F3"/>
    <w:rsid w:val="00645EB0"/>
    <w:rsid w:val="00650402"/>
    <w:rsid w:val="00650D4A"/>
    <w:rsid w:val="0065235B"/>
    <w:rsid w:val="0065241D"/>
    <w:rsid w:val="00652B5C"/>
    <w:rsid w:val="0065301C"/>
    <w:rsid w:val="00653A56"/>
    <w:rsid w:val="006563D2"/>
    <w:rsid w:val="006563E8"/>
    <w:rsid w:val="00660EEE"/>
    <w:rsid w:val="006612FE"/>
    <w:rsid w:val="00661C23"/>
    <w:rsid w:val="00665820"/>
    <w:rsid w:val="00665B7A"/>
    <w:rsid w:val="0066666E"/>
    <w:rsid w:val="00666EC6"/>
    <w:rsid w:val="00670C98"/>
    <w:rsid w:val="00681D60"/>
    <w:rsid w:val="00682828"/>
    <w:rsid w:val="00682C94"/>
    <w:rsid w:val="00682F4F"/>
    <w:rsid w:val="006840D4"/>
    <w:rsid w:val="00693DD0"/>
    <w:rsid w:val="00695B0C"/>
    <w:rsid w:val="00696ECD"/>
    <w:rsid w:val="0069729A"/>
    <w:rsid w:val="006A0F23"/>
    <w:rsid w:val="006A739F"/>
    <w:rsid w:val="006A7518"/>
    <w:rsid w:val="006A7BDD"/>
    <w:rsid w:val="006B3EEB"/>
    <w:rsid w:val="006B508B"/>
    <w:rsid w:val="006B5BAA"/>
    <w:rsid w:val="006C031F"/>
    <w:rsid w:val="006C039C"/>
    <w:rsid w:val="006C0ADD"/>
    <w:rsid w:val="006C144C"/>
    <w:rsid w:val="006C3F86"/>
    <w:rsid w:val="006C4A53"/>
    <w:rsid w:val="006C6507"/>
    <w:rsid w:val="006C7491"/>
    <w:rsid w:val="006D1597"/>
    <w:rsid w:val="006D5032"/>
    <w:rsid w:val="006D50BF"/>
    <w:rsid w:val="006D6075"/>
    <w:rsid w:val="006D62FA"/>
    <w:rsid w:val="006D6433"/>
    <w:rsid w:val="006D70B8"/>
    <w:rsid w:val="006E125B"/>
    <w:rsid w:val="006E21BB"/>
    <w:rsid w:val="006E5767"/>
    <w:rsid w:val="006F0089"/>
    <w:rsid w:val="006F275C"/>
    <w:rsid w:val="006F3E0C"/>
    <w:rsid w:val="006F4C86"/>
    <w:rsid w:val="006F5907"/>
    <w:rsid w:val="006F6BCB"/>
    <w:rsid w:val="006F763E"/>
    <w:rsid w:val="007000C4"/>
    <w:rsid w:val="007001B7"/>
    <w:rsid w:val="00701E98"/>
    <w:rsid w:val="0070229F"/>
    <w:rsid w:val="00703A29"/>
    <w:rsid w:val="00704881"/>
    <w:rsid w:val="00707067"/>
    <w:rsid w:val="0070714B"/>
    <w:rsid w:val="00707245"/>
    <w:rsid w:val="00707B6F"/>
    <w:rsid w:val="00711DEF"/>
    <w:rsid w:val="00712400"/>
    <w:rsid w:val="00714AC6"/>
    <w:rsid w:val="007150B1"/>
    <w:rsid w:val="00715D09"/>
    <w:rsid w:val="00716C15"/>
    <w:rsid w:val="00717A1E"/>
    <w:rsid w:val="00721826"/>
    <w:rsid w:val="00723EF0"/>
    <w:rsid w:val="0072400F"/>
    <w:rsid w:val="007259AB"/>
    <w:rsid w:val="00725D88"/>
    <w:rsid w:val="00731575"/>
    <w:rsid w:val="007324F4"/>
    <w:rsid w:val="00732CF2"/>
    <w:rsid w:val="00735912"/>
    <w:rsid w:val="00744509"/>
    <w:rsid w:val="0074492D"/>
    <w:rsid w:val="00744C91"/>
    <w:rsid w:val="00745D01"/>
    <w:rsid w:val="00746415"/>
    <w:rsid w:val="00752719"/>
    <w:rsid w:val="00754383"/>
    <w:rsid w:val="00754861"/>
    <w:rsid w:val="007565BB"/>
    <w:rsid w:val="00760574"/>
    <w:rsid w:val="00763788"/>
    <w:rsid w:val="00763FD8"/>
    <w:rsid w:val="00765B9A"/>
    <w:rsid w:val="00766DD5"/>
    <w:rsid w:val="00767EBE"/>
    <w:rsid w:val="007706F8"/>
    <w:rsid w:val="00780A1B"/>
    <w:rsid w:val="00782133"/>
    <w:rsid w:val="00784E75"/>
    <w:rsid w:val="00787C17"/>
    <w:rsid w:val="00793BF1"/>
    <w:rsid w:val="007A1D4F"/>
    <w:rsid w:val="007A6183"/>
    <w:rsid w:val="007A77B5"/>
    <w:rsid w:val="007A7DFE"/>
    <w:rsid w:val="007B07A8"/>
    <w:rsid w:val="007B2A43"/>
    <w:rsid w:val="007B2CBB"/>
    <w:rsid w:val="007B46F9"/>
    <w:rsid w:val="007B6056"/>
    <w:rsid w:val="007B6CF0"/>
    <w:rsid w:val="007C32EE"/>
    <w:rsid w:val="007C3C0C"/>
    <w:rsid w:val="007C5A96"/>
    <w:rsid w:val="007D76FB"/>
    <w:rsid w:val="007E0435"/>
    <w:rsid w:val="007E210C"/>
    <w:rsid w:val="007E6253"/>
    <w:rsid w:val="007E69C6"/>
    <w:rsid w:val="007F6024"/>
    <w:rsid w:val="007F6E61"/>
    <w:rsid w:val="007F7E4B"/>
    <w:rsid w:val="00800660"/>
    <w:rsid w:val="008017BA"/>
    <w:rsid w:val="00802784"/>
    <w:rsid w:val="00802A17"/>
    <w:rsid w:val="00802D08"/>
    <w:rsid w:val="00803602"/>
    <w:rsid w:val="00803AB9"/>
    <w:rsid w:val="00803FE2"/>
    <w:rsid w:val="008070B6"/>
    <w:rsid w:val="0080772E"/>
    <w:rsid w:val="00817312"/>
    <w:rsid w:val="008206FF"/>
    <w:rsid w:val="008207FC"/>
    <w:rsid w:val="00822461"/>
    <w:rsid w:val="0082399A"/>
    <w:rsid w:val="0082701D"/>
    <w:rsid w:val="00827313"/>
    <w:rsid w:val="00827958"/>
    <w:rsid w:val="00831C6D"/>
    <w:rsid w:val="008347FC"/>
    <w:rsid w:val="008356C6"/>
    <w:rsid w:val="00837322"/>
    <w:rsid w:val="008406CA"/>
    <w:rsid w:val="0084119D"/>
    <w:rsid w:val="008414C0"/>
    <w:rsid w:val="00844409"/>
    <w:rsid w:val="00853ADE"/>
    <w:rsid w:val="0085457D"/>
    <w:rsid w:val="00855C65"/>
    <w:rsid w:val="008567C5"/>
    <w:rsid w:val="00860C33"/>
    <w:rsid w:val="00862595"/>
    <w:rsid w:val="00862991"/>
    <w:rsid w:val="00867C8E"/>
    <w:rsid w:val="008708C1"/>
    <w:rsid w:val="00872866"/>
    <w:rsid w:val="00872F2B"/>
    <w:rsid w:val="00873274"/>
    <w:rsid w:val="00874ADE"/>
    <w:rsid w:val="0087573F"/>
    <w:rsid w:val="00875EA5"/>
    <w:rsid w:val="00875FC5"/>
    <w:rsid w:val="0087669C"/>
    <w:rsid w:val="00881545"/>
    <w:rsid w:val="0088395A"/>
    <w:rsid w:val="00884647"/>
    <w:rsid w:val="008849B4"/>
    <w:rsid w:val="00891FC3"/>
    <w:rsid w:val="008933D4"/>
    <w:rsid w:val="00895209"/>
    <w:rsid w:val="00895A4E"/>
    <w:rsid w:val="00897E26"/>
    <w:rsid w:val="008A1F07"/>
    <w:rsid w:val="008A2F88"/>
    <w:rsid w:val="008A41FA"/>
    <w:rsid w:val="008A5F90"/>
    <w:rsid w:val="008A73FD"/>
    <w:rsid w:val="008B393E"/>
    <w:rsid w:val="008B51A8"/>
    <w:rsid w:val="008B6AE6"/>
    <w:rsid w:val="008B73CF"/>
    <w:rsid w:val="008C061F"/>
    <w:rsid w:val="008C0B9F"/>
    <w:rsid w:val="008C337C"/>
    <w:rsid w:val="008C47E7"/>
    <w:rsid w:val="008C5438"/>
    <w:rsid w:val="008C56EF"/>
    <w:rsid w:val="008C611B"/>
    <w:rsid w:val="008C67DC"/>
    <w:rsid w:val="008D02E3"/>
    <w:rsid w:val="008D0934"/>
    <w:rsid w:val="008D12E3"/>
    <w:rsid w:val="008D1944"/>
    <w:rsid w:val="008D7835"/>
    <w:rsid w:val="008E0148"/>
    <w:rsid w:val="008E317C"/>
    <w:rsid w:val="008E3B1F"/>
    <w:rsid w:val="008E3C41"/>
    <w:rsid w:val="008E515D"/>
    <w:rsid w:val="008E52C7"/>
    <w:rsid w:val="008F0FB4"/>
    <w:rsid w:val="008F1F65"/>
    <w:rsid w:val="008F3146"/>
    <w:rsid w:val="008F407F"/>
    <w:rsid w:val="008F5CFB"/>
    <w:rsid w:val="008F636B"/>
    <w:rsid w:val="008F737B"/>
    <w:rsid w:val="00900227"/>
    <w:rsid w:val="00900C4E"/>
    <w:rsid w:val="00901C31"/>
    <w:rsid w:val="00902CDA"/>
    <w:rsid w:val="009036CE"/>
    <w:rsid w:val="00905776"/>
    <w:rsid w:val="0090677A"/>
    <w:rsid w:val="00906CED"/>
    <w:rsid w:val="00915897"/>
    <w:rsid w:val="009162AA"/>
    <w:rsid w:val="00916F5E"/>
    <w:rsid w:val="009222D7"/>
    <w:rsid w:val="00927DD9"/>
    <w:rsid w:val="00931CE1"/>
    <w:rsid w:val="00932B23"/>
    <w:rsid w:val="009349A1"/>
    <w:rsid w:val="0093607B"/>
    <w:rsid w:val="009420D3"/>
    <w:rsid w:val="009434CD"/>
    <w:rsid w:val="00943945"/>
    <w:rsid w:val="009458CD"/>
    <w:rsid w:val="009459C8"/>
    <w:rsid w:val="00950966"/>
    <w:rsid w:val="00950B0B"/>
    <w:rsid w:val="009575B6"/>
    <w:rsid w:val="00957788"/>
    <w:rsid w:val="00961AF9"/>
    <w:rsid w:val="00961D24"/>
    <w:rsid w:val="009626DB"/>
    <w:rsid w:val="0096313D"/>
    <w:rsid w:val="009664BF"/>
    <w:rsid w:val="00967E78"/>
    <w:rsid w:val="00970AFD"/>
    <w:rsid w:val="0097211A"/>
    <w:rsid w:val="0097416C"/>
    <w:rsid w:val="00975FFD"/>
    <w:rsid w:val="00983A80"/>
    <w:rsid w:val="00983FA3"/>
    <w:rsid w:val="0098420A"/>
    <w:rsid w:val="00985780"/>
    <w:rsid w:val="00990C03"/>
    <w:rsid w:val="00992353"/>
    <w:rsid w:val="00993DF2"/>
    <w:rsid w:val="00995E1B"/>
    <w:rsid w:val="0099603F"/>
    <w:rsid w:val="00996631"/>
    <w:rsid w:val="00997CBA"/>
    <w:rsid w:val="009A2CAE"/>
    <w:rsid w:val="009A3254"/>
    <w:rsid w:val="009A41F9"/>
    <w:rsid w:val="009A5149"/>
    <w:rsid w:val="009A56EC"/>
    <w:rsid w:val="009A660F"/>
    <w:rsid w:val="009B052D"/>
    <w:rsid w:val="009B1483"/>
    <w:rsid w:val="009B6A20"/>
    <w:rsid w:val="009B7154"/>
    <w:rsid w:val="009C3BB2"/>
    <w:rsid w:val="009C64C9"/>
    <w:rsid w:val="009D0559"/>
    <w:rsid w:val="009D08B3"/>
    <w:rsid w:val="009D1BF9"/>
    <w:rsid w:val="009D2B5C"/>
    <w:rsid w:val="009D602C"/>
    <w:rsid w:val="009D6BAE"/>
    <w:rsid w:val="009E2575"/>
    <w:rsid w:val="009E3E16"/>
    <w:rsid w:val="009E4CCB"/>
    <w:rsid w:val="009F254D"/>
    <w:rsid w:val="009F417B"/>
    <w:rsid w:val="00A00DB5"/>
    <w:rsid w:val="00A00E03"/>
    <w:rsid w:val="00A0308E"/>
    <w:rsid w:val="00A03C74"/>
    <w:rsid w:val="00A06EC5"/>
    <w:rsid w:val="00A10F61"/>
    <w:rsid w:val="00A11283"/>
    <w:rsid w:val="00A13A55"/>
    <w:rsid w:val="00A14213"/>
    <w:rsid w:val="00A154FD"/>
    <w:rsid w:val="00A17951"/>
    <w:rsid w:val="00A218A9"/>
    <w:rsid w:val="00A22C05"/>
    <w:rsid w:val="00A23467"/>
    <w:rsid w:val="00A238F2"/>
    <w:rsid w:val="00A24C94"/>
    <w:rsid w:val="00A24D56"/>
    <w:rsid w:val="00A24FCD"/>
    <w:rsid w:val="00A27898"/>
    <w:rsid w:val="00A30295"/>
    <w:rsid w:val="00A30796"/>
    <w:rsid w:val="00A31663"/>
    <w:rsid w:val="00A318BB"/>
    <w:rsid w:val="00A31F5E"/>
    <w:rsid w:val="00A33887"/>
    <w:rsid w:val="00A3540C"/>
    <w:rsid w:val="00A402E3"/>
    <w:rsid w:val="00A56A7A"/>
    <w:rsid w:val="00A60CC9"/>
    <w:rsid w:val="00A61B43"/>
    <w:rsid w:val="00A62CBC"/>
    <w:rsid w:val="00A64437"/>
    <w:rsid w:val="00A64FE8"/>
    <w:rsid w:val="00A65A7A"/>
    <w:rsid w:val="00A667B9"/>
    <w:rsid w:val="00A67296"/>
    <w:rsid w:val="00A67883"/>
    <w:rsid w:val="00A70EA7"/>
    <w:rsid w:val="00A72D0F"/>
    <w:rsid w:val="00A73444"/>
    <w:rsid w:val="00A7449C"/>
    <w:rsid w:val="00A80836"/>
    <w:rsid w:val="00A80B4D"/>
    <w:rsid w:val="00A82785"/>
    <w:rsid w:val="00A83412"/>
    <w:rsid w:val="00A8403F"/>
    <w:rsid w:val="00A84D1D"/>
    <w:rsid w:val="00A866C6"/>
    <w:rsid w:val="00A8774D"/>
    <w:rsid w:val="00A8788C"/>
    <w:rsid w:val="00A90D1F"/>
    <w:rsid w:val="00A91204"/>
    <w:rsid w:val="00A93D5B"/>
    <w:rsid w:val="00A95207"/>
    <w:rsid w:val="00A95E20"/>
    <w:rsid w:val="00A97B09"/>
    <w:rsid w:val="00AB0065"/>
    <w:rsid w:val="00AB6671"/>
    <w:rsid w:val="00AC197C"/>
    <w:rsid w:val="00AC379F"/>
    <w:rsid w:val="00AC4129"/>
    <w:rsid w:val="00AC4CB9"/>
    <w:rsid w:val="00AC5332"/>
    <w:rsid w:val="00AC62FB"/>
    <w:rsid w:val="00AC6689"/>
    <w:rsid w:val="00AC69CF"/>
    <w:rsid w:val="00AC6E76"/>
    <w:rsid w:val="00AC73D5"/>
    <w:rsid w:val="00AD05C4"/>
    <w:rsid w:val="00AD1640"/>
    <w:rsid w:val="00AD2479"/>
    <w:rsid w:val="00AD38AB"/>
    <w:rsid w:val="00AD3AA2"/>
    <w:rsid w:val="00AD4705"/>
    <w:rsid w:val="00AD56C8"/>
    <w:rsid w:val="00AD6ED8"/>
    <w:rsid w:val="00AD73B4"/>
    <w:rsid w:val="00AD73B9"/>
    <w:rsid w:val="00AD78B5"/>
    <w:rsid w:val="00AD79B6"/>
    <w:rsid w:val="00AE09A0"/>
    <w:rsid w:val="00AE17D2"/>
    <w:rsid w:val="00AE2257"/>
    <w:rsid w:val="00AE2752"/>
    <w:rsid w:val="00AE3F2F"/>
    <w:rsid w:val="00AE639A"/>
    <w:rsid w:val="00AE6E74"/>
    <w:rsid w:val="00AF28D5"/>
    <w:rsid w:val="00AF3C6C"/>
    <w:rsid w:val="00AF6972"/>
    <w:rsid w:val="00B01516"/>
    <w:rsid w:val="00B01D18"/>
    <w:rsid w:val="00B023B0"/>
    <w:rsid w:val="00B02BD3"/>
    <w:rsid w:val="00B03C2A"/>
    <w:rsid w:val="00B03F15"/>
    <w:rsid w:val="00B079C5"/>
    <w:rsid w:val="00B1393B"/>
    <w:rsid w:val="00B142AE"/>
    <w:rsid w:val="00B1675D"/>
    <w:rsid w:val="00B20CA0"/>
    <w:rsid w:val="00B210FA"/>
    <w:rsid w:val="00B221C1"/>
    <w:rsid w:val="00B22641"/>
    <w:rsid w:val="00B25450"/>
    <w:rsid w:val="00B3047D"/>
    <w:rsid w:val="00B321A3"/>
    <w:rsid w:val="00B32386"/>
    <w:rsid w:val="00B3586C"/>
    <w:rsid w:val="00B359DC"/>
    <w:rsid w:val="00B37072"/>
    <w:rsid w:val="00B378A6"/>
    <w:rsid w:val="00B4194C"/>
    <w:rsid w:val="00B42BCC"/>
    <w:rsid w:val="00B42DEF"/>
    <w:rsid w:val="00B44C40"/>
    <w:rsid w:val="00B4613E"/>
    <w:rsid w:val="00B4732D"/>
    <w:rsid w:val="00B4734D"/>
    <w:rsid w:val="00B479D6"/>
    <w:rsid w:val="00B51296"/>
    <w:rsid w:val="00B54A43"/>
    <w:rsid w:val="00B576D5"/>
    <w:rsid w:val="00B60BCD"/>
    <w:rsid w:val="00B625AB"/>
    <w:rsid w:val="00B63760"/>
    <w:rsid w:val="00B63F6D"/>
    <w:rsid w:val="00B67841"/>
    <w:rsid w:val="00B81A33"/>
    <w:rsid w:val="00B82CFC"/>
    <w:rsid w:val="00B83F30"/>
    <w:rsid w:val="00B83FA4"/>
    <w:rsid w:val="00B87656"/>
    <w:rsid w:val="00B87659"/>
    <w:rsid w:val="00B90EA9"/>
    <w:rsid w:val="00B91313"/>
    <w:rsid w:val="00B95139"/>
    <w:rsid w:val="00B96E10"/>
    <w:rsid w:val="00B96FED"/>
    <w:rsid w:val="00B97F90"/>
    <w:rsid w:val="00BA6B09"/>
    <w:rsid w:val="00BB08CD"/>
    <w:rsid w:val="00BB16A4"/>
    <w:rsid w:val="00BB214B"/>
    <w:rsid w:val="00BB26BF"/>
    <w:rsid w:val="00BB4707"/>
    <w:rsid w:val="00BB530F"/>
    <w:rsid w:val="00BB58A1"/>
    <w:rsid w:val="00BB5D0A"/>
    <w:rsid w:val="00BC440C"/>
    <w:rsid w:val="00BC5105"/>
    <w:rsid w:val="00BC753C"/>
    <w:rsid w:val="00BD02A8"/>
    <w:rsid w:val="00BD0CC3"/>
    <w:rsid w:val="00BD1058"/>
    <w:rsid w:val="00BD2F9B"/>
    <w:rsid w:val="00BD52D0"/>
    <w:rsid w:val="00BE2623"/>
    <w:rsid w:val="00BE2F40"/>
    <w:rsid w:val="00BE6809"/>
    <w:rsid w:val="00BE6E5F"/>
    <w:rsid w:val="00BF3293"/>
    <w:rsid w:val="00BF5D06"/>
    <w:rsid w:val="00BF7708"/>
    <w:rsid w:val="00C00731"/>
    <w:rsid w:val="00C02503"/>
    <w:rsid w:val="00C02510"/>
    <w:rsid w:val="00C043B2"/>
    <w:rsid w:val="00C06022"/>
    <w:rsid w:val="00C11C46"/>
    <w:rsid w:val="00C13F6A"/>
    <w:rsid w:val="00C14BEC"/>
    <w:rsid w:val="00C14C7C"/>
    <w:rsid w:val="00C20C6F"/>
    <w:rsid w:val="00C225BD"/>
    <w:rsid w:val="00C22B4F"/>
    <w:rsid w:val="00C230F9"/>
    <w:rsid w:val="00C27391"/>
    <w:rsid w:val="00C33193"/>
    <w:rsid w:val="00C353D0"/>
    <w:rsid w:val="00C37317"/>
    <w:rsid w:val="00C421AA"/>
    <w:rsid w:val="00C43F7E"/>
    <w:rsid w:val="00C450BC"/>
    <w:rsid w:val="00C45F34"/>
    <w:rsid w:val="00C474E9"/>
    <w:rsid w:val="00C4756C"/>
    <w:rsid w:val="00C47A7B"/>
    <w:rsid w:val="00C47B7B"/>
    <w:rsid w:val="00C52516"/>
    <w:rsid w:val="00C531DA"/>
    <w:rsid w:val="00C55F95"/>
    <w:rsid w:val="00C57021"/>
    <w:rsid w:val="00C60AF6"/>
    <w:rsid w:val="00C617A3"/>
    <w:rsid w:val="00C61B0C"/>
    <w:rsid w:val="00C63281"/>
    <w:rsid w:val="00C64C51"/>
    <w:rsid w:val="00C67732"/>
    <w:rsid w:val="00C70D6F"/>
    <w:rsid w:val="00C7177C"/>
    <w:rsid w:val="00C71B44"/>
    <w:rsid w:val="00C8100D"/>
    <w:rsid w:val="00C824F2"/>
    <w:rsid w:val="00C82C44"/>
    <w:rsid w:val="00C900AE"/>
    <w:rsid w:val="00C90C44"/>
    <w:rsid w:val="00C95CB5"/>
    <w:rsid w:val="00C961C4"/>
    <w:rsid w:val="00CA15CD"/>
    <w:rsid w:val="00CA2F0D"/>
    <w:rsid w:val="00CA317F"/>
    <w:rsid w:val="00CA331A"/>
    <w:rsid w:val="00CA3838"/>
    <w:rsid w:val="00CA509D"/>
    <w:rsid w:val="00CB077A"/>
    <w:rsid w:val="00CB0FB0"/>
    <w:rsid w:val="00CB1151"/>
    <w:rsid w:val="00CB5953"/>
    <w:rsid w:val="00CC3270"/>
    <w:rsid w:val="00CC333C"/>
    <w:rsid w:val="00CC38F5"/>
    <w:rsid w:val="00CC5981"/>
    <w:rsid w:val="00CC65BC"/>
    <w:rsid w:val="00CD37E8"/>
    <w:rsid w:val="00CD404C"/>
    <w:rsid w:val="00CD4A6F"/>
    <w:rsid w:val="00CD563A"/>
    <w:rsid w:val="00CE0808"/>
    <w:rsid w:val="00CE0F7B"/>
    <w:rsid w:val="00CE1923"/>
    <w:rsid w:val="00CE1DFD"/>
    <w:rsid w:val="00CE2119"/>
    <w:rsid w:val="00CE280E"/>
    <w:rsid w:val="00CE6D35"/>
    <w:rsid w:val="00CE723D"/>
    <w:rsid w:val="00CF1A4F"/>
    <w:rsid w:val="00CF40F5"/>
    <w:rsid w:val="00CF4E01"/>
    <w:rsid w:val="00CF5626"/>
    <w:rsid w:val="00CF6991"/>
    <w:rsid w:val="00D01553"/>
    <w:rsid w:val="00D053C2"/>
    <w:rsid w:val="00D14BC7"/>
    <w:rsid w:val="00D16C7E"/>
    <w:rsid w:val="00D2030C"/>
    <w:rsid w:val="00D20A9B"/>
    <w:rsid w:val="00D225FF"/>
    <w:rsid w:val="00D23367"/>
    <w:rsid w:val="00D238ED"/>
    <w:rsid w:val="00D251FC"/>
    <w:rsid w:val="00D25206"/>
    <w:rsid w:val="00D318CE"/>
    <w:rsid w:val="00D332AC"/>
    <w:rsid w:val="00D348C5"/>
    <w:rsid w:val="00D3609A"/>
    <w:rsid w:val="00D411C8"/>
    <w:rsid w:val="00D41441"/>
    <w:rsid w:val="00D41E32"/>
    <w:rsid w:val="00D44F98"/>
    <w:rsid w:val="00D4756D"/>
    <w:rsid w:val="00D54480"/>
    <w:rsid w:val="00D562C5"/>
    <w:rsid w:val="00D5638B"/>
    <w:rsid w:val="00D57E7B"/>
    <w:rsid w:val="00D60C61"/>
    <w:rsid w:val="00D60D3B"/>
    <w:rsid w:val="00D62D43"/>
    <w:rsid w:val="00D64B37"/>
    <w:rsid w:val="00D6505B"/>
    <w:rsid w:val="00D651C0"/>
    <w:rsid w:val="00D66B75"/>
    <w:rsid w:val="00D71A28"/>
    <w:rsid w:val="00D72697"/>
    <w:rsid w:val="00D72D82"/>
    <w:rsid w:val="00D73D82"/>
    <w:rsid w:val="00D74287"/>
    <w:rsid w:val="00D81DF0"/>
    <w:rsid w:val="00D82BCE"/>
    <w:rsid w:val="00D8751D"/>
    <w:rsid w:val="00D91D69"/>
    <w:rsid w:val="00D91E02"/>
    <w:rsid w:val="00D92244"/>
    <w:rsid w:val="00D94146"/>
    <w:rsid w:val="00D95551"/>
    <w:rsid w:val="00D96248"/>
    <w:rsid w:val="00DA26EE"/>
    <w:rsid w:val="00DA5C5B"/>
    <w:rsid w:val="00DB0E27"/>
    <w:rsid w:val="00DB4CB6"/>
    <w:rsid w:val="00DB567B"/>
    <w:rsid w:val="00DB5FD2"/>
    <w:rsid w:val="00DC683E"/>
    <w:rsid w:val="00DD0D1B"/>
    <w:rsid w:val="00DD12E9"/>
    <w:rsid w:val="00DD19F5"/>
    <w:rsid w:val="00DD300A"/>
    <w:rsid w:val="00DD5685"/>
    <w:rsid w:val="00DD7452"/>
    <w:rsid w:val="00DE35F5"/>
    <w:rsid w:val="00DE646C"/>
    <w:rsid w:val="00DE78C4"/>
    <w:rsid w:val="00DE7A38"/>
    <w:rsid w:val="00DE7A50"/>
    <w:rsid w:val="00DF0BD0"/>
    <w:rsid w:val="00DF4CF7"/>
    <w:rsid w:val="00DF7675"/>
    <w:rsid w:val="00DF787A"/>
    <w:rsid w:val="00DF7EA4"/>
    <w:rsid w:val="00E00C70"/>
    <w:rsid w:val="00E01E07"/>
    <w:rsid w:val="00E0310E"/>
    <w:rsid w:val="00E038B9"/>
    <w:rsid w:val="00E04CAB"/>
    <w:rsid w:val="00E069A4"/>
    <w:rsid w:val="00E06E15"/>
    <w:rsid w:val="00E14723"/>
    <w:rsid w:val="00E15649"/>
    <w:rsid w:val="00E163D7"/>
    <w:rsid w:val="00E231CD"/>
    <w:rsid w:val="00E24DDA"/>
    <w:rsid w:val="00E24EC4"/>
    <w:rsid w:val="00E24F86"/>
    <w:rsid w:val="00E279DE"/>
    <w:rsid w:val="00E33680"/>
    <w:rsid w:val="00E3370F"/>
    <w:rsid w:val="00E33DE1"/>
    <w:rsid w:val="00E41BB6"/>
    <w:rsid w:val="00E42644"/>
    <w:rsid w:val="00E457AE"/>
    <w:rsid w:val="00E517FF"/>
    <w:rsid w:val="00E53684"/>
    <w:rsid w:val="00E55567"/>
    <w:rsid w:val="00E57608"/>
    <w:rsid w:val="00E60FDE"/>
    <w:rsid w:val="00E6173D"/>
    <w:rsid w:val="00E625F2"/>
    <w:rsid w:val="00E66602"/>
    <w:rsid w:val="00E70A70"/>
    <w:rsid w:val="00E72CB2"/>
    <w:rsid w:val="00E8125F"/>
    <w:rsid w:val="00E8356E"/>
    <w:rsid w:val="00E83B6F"/>
    <w:rsid w:val="00E857EC"/>
    <w:rsid w:val="00E85A11"/>
    <w:rsid w:val="00E877D0"/>
    <w:rsid w:val="00E87DA1"/>
    <w:rsid w:val="00E9131D"/>
    <w:rsid w:val="00E922EC"/>
    <w:rsid w:val="00E93017"/>
    <w:rsid w:val="00E93CCB"/>
    <w:rsid w:val="00E96121"/>
    <w:rsid w:val="00E96E70"/>
    <w:rsid w:val="00E9749E"/>
    <w:rsid w:val="00E97D5D"/>
    <w:rsid w:val="00EA209E"/>
    <w:rsid w:val="00EA2DB1"/>
    <w:rsid w:val="00EA3961"/>
    <w:rsid w:val="00EA3CD8"/>
    <w:rsid w:val="00EA4908"/>
    <w:rsid w:val="00EA559C"/>
    <w:rsid w:val="00EB0B18"/>
    <w:rsid w:val="00EB0BA6"/>
    <w:rsid w:val="00EB10D9"/>
    <w:rsid w:val="00EB11CD"/>
    <w:rsid w:val="00EB1948"/>
    <w:rsid w:val="00EB1A02"/>
    <w:rsid w:val="00EB3518"/>
    <w:rsid w:val="00EB4061"/>
    <w:rsid w:val="00EB4483"/>
    <w:rsid w:val="00EB4754"/>
    <w:rsid w:val="00EB7EE7"/>
    <w:rsid w:val="00EC0933"/>
    <w:rsid w:val="00EC102F"/>
    <w:rsid w:val="00EC2D8F"/>
    <w:rsid w:val="00ED18F9"/>
    <w:rsid w:val="00EE0581"/>
    <w:rsid w:val="00EF55EC"/>
    <w:rsid w:val="00EF6330"/>
    <w:rsid w:val="00F041CE"/>
    <w:rsid w:val="00F05A7B"/>
    <w:rsid w:val="00F100A4"/>
    <w:rsid w:val="00F11B72"/>
    <w:rsid w:val="00F11DE2"/>
    <w:rsid w:val="00F11F72"/>
    <w:rsid w:val="00F136A3"/>
    <w:rsid w:val="00F139B5"/>
    <w:rsid w:val="00F14405"/>
    <w:rsid w:val="00F14428"/>
    <w:rsid w:val="00F14C48"/>
    <w:rsid w:val="00F20D99"/>
    <w:rsid w:val="00F2252D"/>
    <w:rsid w:val="00F2265F"/>
    <w:rsid w:val="00F23104"/>
    <w:rsid w:val="00F255E6"/>
    <w:rsid w:val="00F312F7"/>
    <w:rsid w:val="00F315E1"/>
    <w:rsid w:val="00F31677"/>
    <w:rsid w:val="00F32A38"/>
    <w:rsid w:val="00F335A4"/>
    <w:rsid w:val="00F33D20"/>
    <w:rsid w:val="00F3423D"/>
    <w:rsid w:val="00F3594D"/>
    <w:rsid w:val="00F37189"/>
    <w:rsid w:val="00F410EC"/>
    <w:rsid w:val="00F4279F"/>
    <w:rsid w:val="00F427C2"/>
    <w:rsid w:val="00F42C49"/>
    <w:rsid w:val="00F43276"/>
    <w:rsid w:val="00F45CD4"/>
    <w:rsid w:val="00F46574"/>
    <w:rsid w:val="00F50827"/>
    <w:rsid w:val="00F50F61"/>
    <w:rsid w:val="00F5513E"/>
    <w:rsid w:val="00F57995"/>
    <w:rsid w:val="00F6632F"/>
    <w:rsid w:val="00F66BC1"/>
    <w:rsid w:val="00F70378"/>
    <w:rsid w:val="00F70BD7"/>
    <w:rsid w:val="00F71AF8"/>
    <w:rsid w:val="00F7292C"/>
    <w:rsid w:val="00F7329C"/>
    <w:rsid w:val="00F737DB"/>
    <w:rsid w:val="00F754A7"/>
    <w:rsid w:val="00F75E28"/>
    <w:rsid w:val="00F8002D"/>
    <w:rsid w:val="00F81D5F"/>
    <w:rsid w:val="00F8372D"/>
    <w:rsid w:val="00F843F8"/>
    <w:rsid w:val="00F84A33"/>
    <w:rsid w:val="00F85554"/>
    <w:rsid w:val="00F906AC"/>
    <w:rsid w:val="00F90A14"/>
    <w:rsid w:val="00F946D9"/>
    <w:rsid w:val="00F95E39"/>
    <w:rsid w:val="00F9613A"/>
    <w:rsid w:val="00FA144A"/>
    <w:rsid w:val="00FA2773"/>
    <w:rsid w:val="00FA3090"/>
    <w:rsid w:val="00FB007F"/>
    <w:rsid w:val="00FB73D9"/>
    <w:rsid w:val="00FB7B2D"/>
    <w:rsid w:val="00FC027E"/>
    <w:rsid w:val="00FC276B"/>
    <w:rsid w:val="00FC37AD"/>
    <w:rsid w:val="00FC4DAB"/>
    <w:rsid w:val="00FC524A"/>
    <w:rsid w:val="00FC5CAE"/>
    <w:rsid w:val="00FC6DF5"/>
    <w:rsid w:val="00FC7A9C"/>
    <w:rsid w:val="00FD0E58"/>
    <w:rsid w:val="00FD14A4"/>
    <w:rsid w:val="00FD60B9"/>
    <w:rsid w:val="00FD67B5"/>
    <w:rsid w:val="00FD7380"/>
    <w:rsid w:val="00FD7967"/>
    <w:rsid w:val="00FE09BD"/>
    <w:rsid w:val="00FE2B3D"/>
    <w:rsid w:val="00FE4F95"/>
    <w:rsid w:val="00FE6B93"/>
    <w:rsid w:val="00FF3BEA"/>
    <w:rsid w:val="00FF54D8"/>
    <w:rsid w:val="016C5839"/>
    <w:rsid w:val="023B6BC5"/>
    <w:rsid w:val="025A704C"/>
    <w:rsid w:val="029C7664"/>
    <w:rsid w:val="03110734"/>
    <w:rsid w:val="0343572D"/>
    <w:rsid w:val="03B22EB7"/>
    <w:rsid w:val="03B37031"/>
    <w:rsid w:val="03C52BEB"/>
    <w:rsid w:val="04032678"/>
    <w:rsid w:val="040E6340"/>
    <w:rsid w:val="04317DFB"/>
    <w:rsid w:val="043D6C25"/>
    <w:rsid w:val="047D31B4"/>
    <w:rsid w:val="049C7388"/>
    <w:rsid w:val="055566FA"/>
    <w:rsid w:val="05DF3027"/>
    <w:rsid w:val="05F81055"/>
    <w:rsid w:val="060C2D53"/>
    <w:rsid w:val="061340E1"/>
    <w:rsid w:val="063F4ED6"/>
    <w:rsid w:val="065564A8"/>
    <w:rsid w:val="06565D7C"/>
    <w:rsid w:val="067B3A34"/>
    <w:rsid w:val="070F5451"/>
    <w:rsid w:val="07404610"/>
    <w:rsid w:val="074A1D85"/>
    <w:rsid w:val="077A5E79"/>
    <w:rsid w:val="07BC507A"/>
    <w:rsid w:val="07C5140B"/>
    <w:rsid w:val="07FE5007"/>
    <w:rsid w:val="086D3FB8"/>
    <w:rsid w:val="088272FC"/>
    <w:rsid w:val="08EC0884"/>
    <w:rsid w:val="08F17C67"/>
    <w:rsid w:val="099F1422"/>
    <w:rsid w:val="09D122E9"/>
    <w:rsid w:val="09E13F2C"/>
    <w:rsid w:val="0B2428ED"/>
    <w:rsid w:val="0B291CB1"/>
    <w:rsid w:val="0B5F3925"/>
    <w:rsid w:val="0B6B4077"/>
    <w:rsid w:val="0BBA6DAD"/>
    <w:rsid w:val="0BD47E6F"/>
    <w:rsid w:val="0BF26547"/>
    <w:rsid w:val="0C2A3F33"/>
    <w:rsid w:val="0C831895"/>
    <w:rsid w:val="0CE916F8"/>
    <w:rsid w:val="0CF62067"/>
    <w:rsid w:val="0CFE645D"/>
    <w:rsid w:val="0D1D3A97"/>
    <w:rsid w:val="0D3606AB"/>
    <w:rsid w:val="0D3E1E85"/>
    <w:rsid w:val="0DDF77C0"/>
    <w:rsid w:val="0DED5218"/>
    <w:rsid w:val="0E2055ED"/>
    <w:rsid w:val="0E680D42"/>
    <w:rsid w:val="0E732A42"/>
    <w:rsid w:val="0E8F4521"/>
    <w:rsid w:val="0EA31D7A"/>
    <w:rsid w:val="0F065E65"/>
    <w:rsid w:val="0F2E7896"/>
    <w:rsid w:val="0F441B03"/>
    <w:rsid w:val="0F9718DF"/>
    <w:rsid w:val="0FB83603"/>
    <w:rsid w:val="101430CB"/>
    <w:rsid w:val="103270E8"/>
    <w:rsid w:val="104A6873"/>
    <w:rsid w:val="10C10D71"/>
    <w:rsid w:val="11124F95"/>
    <w:rsid w:val="11397770"/>
    <w:rsid w:val="116577BB"/>
    <w:rsid w:val="11904838"/>
    <w:rsid w:val="11C73FD2"/>
    <w:rsid w:val="12655CC4"/>
    <w:rsid w:val="127809B8"/>
    <w:rsid w:val="12C624DB"/>
    <w:rsid w:val="12F0367F"/>
    <w:rsid w:val="1308100B"/>
    <w:rsid w:val="132316DC"/>
    <w:rsid w:val="132C0590"/>
    <w:rsid w:val="132E3C70"/>
    <w:rsid w:val="13421B62"/>
    <w:rsid w:val="135E3631"/>
    <w:rsid w:val="13800626"/>
    <w:rsid w:val="13855EF2"/>
    <w:rsid w:val="14586A70"/>
    <w:rsid w:val="14A405FA"/>
    <w:rsid w:val="150D619F"/>
    <w:rsid w:val="152359C3"/>
    <w:rsid w:val="15581B10"/>
    <w:rsid w:val="15B505AD"/>
    <w:rsid w:val="15C34AB0"/>
    <w:rsid w:val="15D60C87"/>
    <w:rsid w:val="160457F4"/>
    <w:rsid w:val="164E669B"/>
    <w:rsid w:val="16672DA1"/>
    <w:rsid w:val="16845EEC"/>
    <w:rsid w:val="17183FFE"/>
    <w:rsid w:val="175B1444"/>
    <w:rsid w:val="178E6483"/>
    <w:rsid w:val="17C90AA4"/>
    <w:rsid w:val="185A5262"/>
    <w:rsid w:val="18850495"/>
    <w:rsid w:val="18B03A11"/>
    <w:rsid w:val="18FA1571"/>
    <w:rsid w:val="194F0E6C"/>
    <w:rsid w:val="19B27315"/>
    <w:rsid w:val="19D754EC"/>
    <w:rsid w:val="19E020D4"/>
    <w:rsid w:val="1A27385F"/>
    <w:rsid w:val="1A930EF5"/>
    <w:rsid w:val="1ABB1A34"/>
    <w:rsid w:val="1B9431A0"/>
    <w:rsid w:val="1C6E6D07"/>
    <w:rsid w:val="1CC64AED"/>
    <w:rsid w:val="1D1506F8"/>
    <w:rsid w:val="1D306ECF"/>
    <w:rsid w:val="1D3F35B6"/>
    <w:rsid w:val="1D8A7270"/>
    <w:rsid w:val="1DFD14A7"/>
    <w:rsid w:val="1E1F3023"/>
    <w:rsid w:val="1E3B1FCF"/>
    <w:rsid w:val="1E5360AD"/>
    <w:rsid w:val="1EFA59E6"/>
    <w:rsid w:val="1F973235"/>
    <w:rsid w:val="1FF02946"/>
    <w:rsid w:val="2011123A"/>
    <w:rsid w:val="205C7FDB"/>
    <w:rsid w:val="207C270F"/>
    <w:rsid w:val="20FC4692"/>
    <w:rsid w:val="210D53A6"/>
    <w:rsid w:val="215A451A"/>
    <w:rsid w:val="21867F2C"/>
    <w:rsid w:val="219A525F"/>
    <w:rsid w:val="21E40288"/>
    <w:rsid w:val="221D408F"/>
    <w:rsid w:val="22243B5E"/>
    <w:rsid w:val="22574EFE"/>
    <w:rsid w:val="225D1507"/>
    <w:rsid w:val="22AF4D3A"/>
    <w:rsid w:val="22C070AD"/>
    <w:rsid w:val="233652A0"/>
    <w:rsid w:val="2337002B"/>
    <w:rsid w:val="2342170A"/>
    <w:rsid w:val="236E24FF"/>
    <w:rsid w:val="23B37294"/>
    <w:rsid w:val="23E461BC"/>
    <w:rsid w:val="242A0B1C"/>
    <w:rsid w:val="245B0CD5"/>
    <w:rsid w:val="24CC4832"/>
    <w:rsid w:val="252437BD"/>
    <w:rsid w:val="25407ECB"/>
    <w:rsid w:val="255D2846"/>
    <w:rsid w:val="25902C01"/>
    <w:rsid w:val="25A14E0E"/>
    <w:rsid w:val="26E06F7C"/>
    <w:rsid w:val="273C0B20"/>
    <w:rsid w:val="27402404"/>
    <w:rsid w:val="274E6307"/>
    <w:rsid w:val="27663E23"/>
    <w:rsid w:val="281008CE"/>
    <w:rsid w:val="281F03C7"/>
    <w:rsid w:val="282E6701"/>
    <w:rsid w:val="283755B5"/>
    <w:rsid w:val="284F12A1"/>
    <w:rsid w:val="28A8200F"/>
    <w:rsid w:val="29422123"/>
    <w:rsid w:val="2A0E0598"/>
    <w:rsid w:val="2A2B114A"/>
    <w:rsid w:val="2A37649D"/>
    <w:rsid w:val="2A4277CB"/>
    <w:rsid w:val="2A497822"/>
    <w:rsid w:val="2A813850"/>
    <w:rsid w:val="2A861665"/>
    <w:rsid w:val="2B0E4001"/>
    <w:rsid w:val="2B4324C3"/>
    <w:rsid w:val="2B9972AC"/>
    <w:rsid w:val="2BA74825"/>
    <w:rsid w:val="2BD01F4A"/>
    <w:rsid w:val="2C03512E"/>
    <w:rsid w:val="2C057779"/>
    <w:rsid w:val="2C2A44C0"/>
    <w:rsid w:val="2C416A03"/>
    <w:rsid w:val="2C5431C4"/>
    <w:rsid w:val="2C5A1030"/>
    <w:rsid w:val="2D2D4885"/>
    <w:rsid w:val="2D3C541C"/>
    <w:rsid w:val="2D7E5A35"/>
    <w:rsid w:val="2DAF08E4"/>
    <w:rsid w:val="2DFD4142"/>
    <w:rsid w:val="2E040849"/>
    <w:rsid w:val="2E183793"/>
    <w:rsid w:val="2E642E7C"/>
    <w:rsid w:val="2E8C5F2F"/>
    <w:rsid w:val="2EBC4A66"/>
    <w:rsid w:val="2EE36BFF"/>
    <w:rsid w:val="2F1037BF"/>
    <w:rsid w:val="2F4D56BE"/>
    <w:rsid w:val="2F9C03F4"/>
    <w:rsid w:val="2FAB04B1"/>
    <w:rsid w:val="2FE029D7"/>
    <w:rsid w:val="303745E6"/>
    <w:rsid w:val="30523452"/>
    <w:rsid w:val="305331A8"/>
    <w:rsid w:val="3057357E"/>
    <w:rsid w:val="30782C0F"/>
    <w:rsid w:val="307B3F3B"/>
    <w:rsid w:val="30F2476F"/>
    <w:rsid w:val="31085D41"/>
    <w:rsid w:val="313A6116"/>
    <w:rsid w:val="31576CC8"/>
    <w:rsid w:val="31750BC6"/>
    <w:rsid w:val="319F516B"/>
    <w:rsid w:val="31E87920"/>
    <w:rsid w:val="327F2033"/>
    <w:rsid w:val="33AC25F0"/>
    <w:rsid w:val="33BB353F"/>
    <w:rsid w:val="33F46A50"/>
    <w:rsid w:val="34422B51"/>
    <w:rsid w:val="346040E6"/>
    <w:rsid w:val="34CE72A2"/>
    <w:rsid w:val="34DA3E98"/>
    <w:rsid w:val="357A752B"/>
    <w:rsid w:val="35DF47E1"/>
    <w:rsid w:val="35E2343B"/>
    <w:rsid w:val="3619454C"/>
    <w:rsid w:val="365E28A7"/>
    <w:rsid w:val="36BE445D"/>
    <w:rsid w:val="36FF310A"/>
    <w:rsid w:val="370945C1"/>
    <w:rsid w:val="374D3D49"/>
    <w:rsid w:val="375E7A99"/>
    <w:rsid w:val="37920A5A"/>
    <w:rsid w:val="37BC7885"/>
    <w:rsid w:val="37C544AA"/>
    <w:rsid w:val="380134EA"/>
    <w:rsid w:val="3818497E"/>
    <w:rsid w:val="38196A86"/>
    <w:rsid w:val="3824368D"/>
    <w:rsid w:val="38262F51"/>
    <w:rsid w:val="38562A41"/>
    <w:rsid w:val="38933118"/>
    <w:rsid w:val="38C764E2"/>
    <w:rsid w:val="38CC2AF5"/>
    <w:rsid w:val="39447B32"/>
    <w:rsid w:val="39975942"/>
    <w:rsid w:val="39A81280"/>
    <w:rsid w:val="39FB4D51"/>
    <w:rsid w:val="3A6D320B"/>
    <w:rsid w:val="3A831C42"/>
    <w:rsid w:val="3AB62E5E"/>
    <w:rsid w:val="3BF17DA6"/>
    <w:rsid w:val="3C111F38"/>
    <w:rsid w:val="3C137C90"/>
    <w:rsid w:val="3C94492D"/>
    <w:rsid w:val="3CAF79B9"/>
    <w:rsid w:val="3CC33464"/>
    <w:rsid w:val="3D483969"/>
    <w:rsid w:val="3D66718E"/>
    <w:rsid w:val="3E106672"/>
    <w:rsid w:val="3E646581"/>
    <w:rsid w:val="3EB370BF"/>
    <w:rsid w:val="3EC314F9"/>
    <w:rsid w:val="3ED37E36"/>
    <w:rsid w:val="3F4706A8"/>
    <w:rsid w:val="3FD87226"/>
    <w:rsid w:val="4025234B"/>
    <w:rsid w:val="40336D2A"/>
    <w:rsid w:val="4083391D"/>
    <w:rsid w:val="409F7D44"/>
    <w:rsid w:val="40EF2A79"/>
    <w:rsid w:val="410700A3"/>
    <w:rsid w:val="415B3C6B"/>
    <w:rsid w:val="41AA69A0"/>
    <w:rsid w:val="41AC7D05"/>
    <w:rsid w:val="41B12B5D"/>
    <w:rsid w:val="41C93F53"/>
    <w:rsid w:val="41CF7034"/>
    <w:rsid w:val="41EA4FEF"/>
    <w:rsid w:val="422E5823"/>
    <w:rsid w:val="42462F17"/>
    <w:rsid w:val="425F00D8"/>
    <w:rsid w:val="43104F29"/>
    <w:rsid w:val="43212C92"/>
    <w:rsid w:val="433E1A96"/>
    <w:rsid w:val="4355648A"/>
    <w:rsid w:val="438029B0"/>
    <w:rsid w:val="43DE6DD5"/>
    <w:rsid w:val="44004F9E"/>
    <w:rsid w:val="441B0B71"/>
    <w:rsid w:val="44983C5E"/>
    <w:rsid w:val="45364226"/>
    <w:rsid w:val="45D13DE5"/>
    <w:rsid w:val="467632F5"/>
    <w:rsid w:val="46A87991"/>
    <w:rsid w:val="472D7AAE"/>
    <w:rsid w:val="473A09B8"/>
    <w:rsid w:val="477A0590"/>
    <w:rsid w:val="47E36D92"/>
    <w:rsid w:val="48384D06"/>
    <w:rsid w:val="483A26D1"/>
    <w:rsid w:val="485D3C90"/>
    <w:rsid w:val="487223B8"/>
    <w:rsid w:val="48BB0092"/>
    <w:rsid w:val="49471BF2"/>
    <w:rsid w:val="49652244"/>
    <w:rsid w:val="4AB703EF"/>
    <w:rsid w:val="4AFB1A42"/>
    <w:rsid w:val="4B4F37E9"/>
    <w:rsid w:val="4B8D35BB"/>
    <w:rsid w:val="4BA10E14"/>
    <w:rsid w:val="4BAA7183"/>
    <w:rsid w:val="4BAE328A"/>
    <w:rsid w:val="4C03387D"/>
    <w:rsid w:val="4C940979"/>
    <w:rsid w:val="4CB30DFF"/>
    <w:rsid w:val="4D784FFD"/>
    <w:rsid w:val="4D901140"/>
    <w:rsid w:val="4DA846DC"/>
    <w:rsid w:val="4E112E88"/>
    <w:rsid w:val="4EA051AA"/>
    <w:rsid w:val="4EB646C8"/>
    <w:rsid w:val="4F367DF3"/>
    <w:rsid w:val="4F766E5E"/>
    <w:rsid w:val="4F9C3DCC"/>
    <w:rsid w:val="4FAD3C3C"/>
    <w:rsid w:val="4FBE23B5"/>
    <w:rsid w:val="4FEC37D1"/>
    <w:rsid w:val="4FF95E87"/>
    <w:rsid w:val="506B19F1"/>
    <w:rsid w:val="5076286F"/>
    <w:rsid w:val="5099030C"/>
    <w:rsid w:val="50C3182D"/>
    <w:rsid w:val="50D70E34"/>
    <w:rsid w:val="510065DD"/>
    <w:rsid w:val="510A745C"/>
    <w:rsid w:val="51236305"/>
    <w:rsid w:val="51275918"/>
    <w:rsid w:val="5201260D"/>
    <w:rsid w:val="52860D64"/>
    <w:rsid w:val="52CA50F4"/>
    <w:rsid w:val="52CD0741"/>
    <w:rsid w:val="52E9223A"/>
    <w:rsid w:val="53012A31"/>
    <w:rsid w:val="53037D86"/>
    <w:rsid w:val="534B3BBC"/>
    <w:rsid w:val="53BB2C20"/>
    <w:rsid w:val="53F32429"/>
    <w:rsid w:val="53FA5565"/>
    <w:rsid w:val="5413179D"/>
    <w:rsid w:val="54696B1A"/>
    <w:rsid w:val="546B1FBF"/>
    <w:rsid w:val="54857525"/>
    <w:rsid w:val="548E1F82"/>
    <w:rsid w:val="550A7A2A"/>
    <w:rsid w:val="5540344C"/>
    <w:rsid w:val="557E3F74"/>
    <w:rsid w:val="55943283"/>
    <w:rsid w:val="55B7112D"/>
    <w:rsid w:val="56B36EE8"/>
    <w:rsid w:val="56BE6103"/>
    <w:rsid w:val="56CB143B"/>
    <w:rsid w:val="56E50D94"/>
    <w:rsid w:val="570C327C"/>
    <w:rsid w:val="572047FA"/>
    <w:rsid w:val="575B27BF"/>
    <w:rsid w:val="57C14700"/>
    <w:rsid w:val="57C77E54"/>
    <w:rsid w:val="57D811D4"/>
    <w:rsid w:val="581E6C81"/>
    <w:rsid w:val="582B2191"/>
    <w:rsid w:val="583B7EFB"/>
    <w:rsid w:val="589B0CF5"/>
    <w:rsid w:val="589E6E07"/>
    <w:rsid w:val="58B25857"/>
    <w:rsid w:val="58ED5699"/>
    <w:rsid w:val="590D5D3B"/>
    <w:rsid w:val="59802ABF"/>
    <w:rsid w:val="5A042E1A"/>
    <w:rsid w:val="5A61633E"/>
    <w:rsid w:val="5A7616BE"/>
    <w:rsid w:val="5AA35E7D"/>
    <w:rsid w:val="5AC8583D"/>
    <w:rsid w:val="5AF967B6"/>
    <w:rsid w:val="5B3C2907"/>
    <w:rsid w:val="5B687259"/>
    <w:rsid w:val="5B7976B8"/>
    <w:rsid w:val="5B7B51DE"/>
    <w:rsid w:val="5B8B1199"/>
    <w:rsid w:val="5BA54009"/>
    <w:rsid w:val="5BBD399E"/>
    <w:rsid w:val="5BE72873"/>
    <w:rsid w:val="5C1915C9"/>
    <w:rsid w:val="5C1D44E7"/>
    <w:rsid w:val="5CEB1EEF"/>
    <w:rsid w:val="5D486FBE"/>
    <w:rsid w:val="5DB20C5F"/>
    <w:rsid w:val="5DC97FE0"/>
    <w:rsid w:val="5DCA7F8F"/>
    <w:rsid w:val="5E04696B"/>
    <w:rsid w:val="5E1E2608"/>
    <w:rsid w:val="5E287173"/>
    <w:rsid w:val="5E36363E"/>
    <w:rsid w:val="5E510478"/>
    <w:rsid w:val="5E6957C1"/>
    <w:rsid w:val="5E696136"/>
    <w:rsid w:val="5E7D0C73"/>
    <w:rsid w:val="5E80779C"/>
    <w:rsid w:val="5E873E9A"/>
    <w:rsid w:val="5E8E6FD6"/>
    <w:rsid w:val="5EB153BA"/>
    <w:rsid w:val="5ECF6CB2"/>
    <w:rsid w:val="5EED17C6"/>
    <w:rsid w:val="5F0E37A5"/>
    <w:rsid w:val="5FCE168D"/>
    <w:rsid w:val="60141033"/>
    <w:rsid w:val="60273809"/>
    <w:rsid w:val="606D0807"/>
    <w:rsid w:val="609F799C"/>
    <w:rsid w:val="60E81DBB"/>
    <w:rsid w:val="60E94998"/>
    <w:rsid w:val="610A2B60"/>
    <w:rsid w:val="61314591"/>
    <w:rsid w:val="61562A88"/>
    <w:rsid w:val="61766E11"/>
    <w:rsid w:val="61A93967"/>
    <w:rsid w:val="61E17D65"/>
    <w:rsid w:val="62832BCA"/>
    <w:rsid w:val="62886432"/>
    <w:rsid w:val="62986BCB"/>
    <w:rsid w:val="629D0232"/>
    <w:rsid w:val="629E7A04"/>
    <w:rsid w:val="62F45876"/>
    <w:rsid w:val="63137B19"/>
    <w:rsid w:val="63166C05"/>
    <w:rsid w:val="634C7460"/>
    <w:rsid w:val="6390559E"/>
    <w:rsid w:val="63F33CD3"/>
    <w:rsid w:val="64406FC4"/>
    <w:rsid w:val="64B0540F"/>
    <w:rsid w:val="64B37600"/>
    <w:rsid w:val="64E175D3"/>
    <w:rsid w:val="64F1206D"/>
    <w:rsid w:val="64F658D5"/>
    <w:rsid w:val="650A7ED3"/>
    <w:rsid w:val="653D52B2"/>
    <w:rsid w:val="662621EA"/>
    <w:rsid w:val="66B262F1"/>
    <w:rsid w:val="672938C1"/>
    <w:rsid w:val="678B49FB"/>
    <w:rsid w:val="679338AF"/>
    <w:rsid w:val="67A8670B"/>
    <w:rsid w:val="67FD341E"/>
    <w:rsid w:val="68134F2E"/>
    <w:rsid w:val="686F7E78"/>
    <w:rsid w:val="68C83A2C"/>
    <w:rsid w:val="68F41C21"/>
    <w:rsid w:val="68F760C0"/>
    <w:rsid w:val="6917202B"/>
    <w:rsid w:val="6973381B"/>
    <w:rsid w:val="69845916"/>
    <w:rsid w:val="69956F48"/>
    <w:rsid w:val="69EC72A7"/>
    <w:rsid w:val="6A07709D"/>
    <w:rsid w:val="6A7A48B2"/>
    <w:rsid w:val="6AB853DB"/>
    <w:rsid w:val="6B1E3B20"/>
    <w:rsid w:val="6B3466A2"/>
    <w:rsid w:val="6B827EC3"/>
    <w:rsid w:val="6B8B067C"/>
    <w:rsid w:val="6BA5010E"/>
    <w:rsid w:val="6C060AF4"/>
    <w:rsid w:val="6C2E1DF8"/>
    <w:rsid w:val="6C494E84"/>
    <w:rsid w:val="6C77379F"/>
    <w:rsid w:val="6D4F3B65"/>
    <w:rsid w:val="6D5B4E6F"/>
    <w:rsid w:val="6EC36850"/>
    <w:rsid w:val="6ED2230F"/>
    <w:rsid w:val="6ED30A35"/>
    <w:rsid w:val="6F332BD3"/>
    <w:rsid w:val="6F435BBB"/>
    <w:rsid w:val="6F4A6F49"/>
    <w:rsid w:val="6F8E1624"/>
    <w:rsid w:val="6F96218E"/>
    <w:rsid w:val="6FCA2B56"/>
    <w:rsid w:val="70005026"/>
    <w:rsid w:val="7007246F"/>
    <w:rsid w:val="70DF5DB7"/>
    <w:rsid w:val="718B323C"/>
    <w:rsid w:val="71AA62F6"/>
    <w:rsid w:val="71CD3E62"/>
    <w:rsid w:val="71DE3951"/>
    <w:rsid w:val="71F96A05"/>
    <w:rsid w:val="7226697E"/>
    <w:rsid w:val="724C4D86"/>
    <w:rsid w:val="72842772"/>
    <w:rsid w:val="729E5E0A"/>
    <w:rsid w:val="72B75BD6"/>
    <w:rsid w:val="72F53670"/>
    <w:rsid w:val="730B4C41"/>
    <w:rsid w:val="731755C9"/>
    <w:rsid w:val="73A81819"/>
    <w:rsid w:val="73DB2866"/>
    <w:rsid w:val="74101451"/>
    <w:rsid w:val="742D6E39"/>
    <w:rsid w:val="74561EEC"/>
    <w:rsid w:val="745D75AC"/>
    <w:rsid w:val="7487479C"/>
    <w:rsid w:val="74962C31"/>
    <w:rsid w:val="74AE7F7A"/>
    <w:rsid w:val="74EC2851"/>
    <w:rsid w:val="74F33BDF"/>
    <w:rsid w:val="752D25C5"/>
    <w:rsid w:val="75A373B3"/>
    <w:rsid w:val="75D70EAF"/>
    <w:rsid w:val="76500BBD"/>
    <w:rsid w:val="76A870D5"/>
    <w:rsid w:val="76BA0E58"/>
    <w:rsid w:val="770E516D"/>
    <w:rsid w:val="77432ABC"/>
    <w:rsid w:val="77C875A5"/>
    <w:rsid w:val="77EA17B7"/>
    <w:rsid w:val="7802777D"/>
    <w:rsid w:val="780659D7"/>
    <w:rsid w:val="78472956"/>
    <w:rsid w:val="787A18C2"/>
    <w:rsid w:val="78A43B6E"/>
    <w:rsid w:val="78CD5127"/>
    <w:rsid w:val="78E47621"/>
    <w:rsid w:val="78F47F26"/>
    <w:rsid w:val="78FF6281"/>
    <w:rsid w:val="79181E66"/>
    <w:rsid w:val="79CE0777"/>
    <w:rsid w:val="79D21E56"/>
    <w:rsid w:val="79F226B7"/>
    <w:rsid w:val="7AD7365B"/>
    <w:rsid w:val="7AF53C17"/>
    <w:rsid w:val="7B9F061D"/>
    <w:rsid w:val="7C0466D2"/>
    <w:rsid w:val="7C1F52BA"/>
    <w:rsid w:val="7C347785"/>
    <w:rsid w:val="7C8C2F60"/>
    <w:rsid w:val="7CC663F8"/>
    <w:rsid w:val="7D3F5EC8"/>
    <w:rsid w:val="7D5316BF"/>
    <w:rsid w:val="7D935EC7"/>
    <w:rsid w:val="7D935F5F"/>
    <w:rsid w:val="7DA8228C"/>
    <w:rsid w:val="7E24305B"/>
    <w:rsid w:val="7E977CD1"/>
    <w:rsid w:val="7E9E2E0E"/>
    <w:rsid w:val="7EA146AC"/>
    <w:rsid w:val="7EC82112"/>
    <w:rsid w:val="7EDC0709"/>
    <w:rsid w:val="7EEA1BAF"/>
    <w:rsid w:val="7EEB6788"/>
    <w:rsid w:val="7F0A04A3"/>
    <w:rsid w:val="7F1135E0"/>
    <w:rsid w:val="7F17671C"/>
    <w:rsid w:val="7F185565"/>
    <w:rsid w:val="7F4339B5"/>
    <w:rsid w:val="7FEC5D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78" w:lineRule="auto"/>
      <w:outlineLvl w:val="0"/>
    </w:pPr>
    <w:rPr>
      <w:b/>
      <w:bCs/>
      <w:kern w:val="44"/>
      <w:sz w:val="44"/>
      <w:szCs w:val="44"/>
    </w:rPr>
  </w:style>
  <w:style w:type="paragraph" w:styleId="3">
    <w:name w:val="heading 2"/>
    <w:basedOn w:val="1"/>
    <w:next w:val="1"/>
    <w:link w:val="34"/>
    <w:qFormat/>
    <w:uiPriority w:val="0"/>
    <w:pPr>
      <w:keepNext/>
      <w:keepLines/>
      <w:spacing w:line="416" w:lineRule="auto"/>
      <w:outlineLvl w:val="1"/>
    </w:pPr>
    <w:rPr>
      <w:rFonts w:ascii="Arial" w:hAnsi="Arial" w:eastAsia="黑体"/>
      <w:bCs/>
      <w:sz w:val="32"/>
      <w:szCs w:val="32"/>
    </w:rPr>
  </w:style>
  <w:style w:type="paragraph" w:styleId="4">
    <w:name w:val="heading 3"/>
    <w:basedOn w:val="1"/>
    <w:next w:val="1"/>
    <w:link w:val="33"/>
    <w:qFormat/>
    <w:uiPriority w:val="0"/>
    <w:pPr>
      <w:keepNext/>
      <w:keepLines/>
      <w:spacing w:line="416" w:lineRule="auto"/>
      <w:outlineLvl w:val="2"/>
    </w:pPr>
    <w:rPr>
      <w:rFonts w:eastAsia="黑体"/>
      <w:bCs/>
      <w:kern w:val="0"/>
      <w:sz w:val="24"/>
      <w:szCs w:val="32"/>
    </w:rPr>
  </w:style>
  <w:style w:type="paragraph" w:styleId="5">
    <w:name w:val="heading 4"/>
    <w:basedOn w:val="1"/>
    <w:next w:val="1"/>
    <w:qFormat/>
    <w:uiPriority w:val="99"/>
    <w:pPr>
      <w:keepNext/>
      <w:keepLines/>
      <w:spacing w:line="360" w:lineRule="auto"/>
      <w:outlineLvl w:val="3"/>
    </w:pPr>
    <w:rPr>
      <w:rFonts w:ascii="Cambria" w:hAnsi="Cambria" w:cs="Cambria"/>
      <w:b/>
      <w:bCs/>
      <w:kern w:val="0"/>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semiHidden/>
    <w:qFormat/>
    <w:uiPriority w:val="0"/>
    <w:pPr>
      <w:jc w:val="left"/>
    </w:pPr>
  </w:style>
  <w:style w:type="paragraph" w:styleId="8">
    <w:name w:val="Body Text"/>
    <w:basedOn w:val="1"/>
    <w:semiHidden/>
    <w:qFormat/>
    <w:uiPriority w:val="0"/>
    <w:rPr>
      <w:rFonts w:eastAsia="Arial"/>
    </w:rPr>
  </w:style>
  <w:style w:type="paragraph" w:styleId="9">
    <w:name w:val="Plain Text"/>
    <w:basedOn w:val="1"/>
    <w:qFormat/>
    <w:uiPriority w:val="0"/>
    <w:rPr>
      <w:rFonts w:ascii="宋体" w:hAnsi="Courier New"/>
      <w:szCs w:val="20"/>
    </w:rPr>
  </w:style>
  <w:style w:type="paragraph" w:styleId="10">
    <w:name w:val="Balloon Text"/>
    <w:basedOn w:val="1"/>
    <w:link w:val="35"/>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bCs/>
    </w:rPr>
  </w:style>
  <w:style w:type="character" w:styleId="18">
    <w:name w:val="page number"/>
    <w:basedOn w:val="16"/>
    <w:qFormat/>
    <w:uiPriority w:val="0"/>
  </w:style>
  <w:style w:type="character" w:styleId="19">
    <w:name w:val="FollowedHyperlink"/>
    <w:basedOn w:val="16"/>
    <w:qFormat/>
    <w:uiPriority w:val="0"/>
    <w:rPr>
      <w:color w:val="800080"/>
      <w:u w:val="none"/>
    </w:rPr>
  </w:style>
  <w:style w:type="character" w:styleId="20">
    <w:name w:val="Emphasis"/>
    <w:basedOn w:val="16"/>
    <w:qFormat/>
    <w:uiPriority w:val="0"/>
    <w:rPr>
      <w:b/>
    </w:rPr>
  </w:style>
  <w:style w:type="character" w:styleId="21">
    <w:name w:val="HTML Definition"/>
    <w:basedOn w:val="16"/>
    <w:qFormat/>
    <w:uiPriority w:val="0"/>
  </w:style>
  <w:style w:type="character" w:styleId="22">
    <w:name w:val="HTML Typewriter"/>
    <w:basedOn w:val="16"/>
    <w:qFormat/>
    <w:uiPriority w:val="0"/>
    <w:rPr>
      <w:rFonts w:hint="default" w:ascii="monospace" w:hAnsi="monospace" w:eastAsia="monospace" w:cs="monospace"/>
      <w:sz w:val="20"/>
    </w:rPr>
  </w:style>
  <w:style w:type="character" w:styleId="23">
    <w:name w:val="HTML Acronym"/>
    <w:basedOn w:val="16"/>
    <w:qFormat/>
    <w:uiPriority w:val="0"/>
  </w:style>
  <w:style w:type="character" w:styleId="24">
    <w:name w:val="HTML Variable"/>
    <w:basedOn w:val="16"/>
    <w:qFormat/>
    <w:uiPriority w:val="0"/>
  </w:style>
  <w:style w:type="character" w:styleId="25">
    <w:name w:val="Hyperlink"/>
    <w:qFormat/>
    <w:uiPriority w:val="0"/>
    <w:rPr>
      <w:color w:val="0000FF"/>
      <w:u w:val="single"/>
    </w:rPr>
  </w:style>
  <w:style w:type="character" w:styleId="26">
    <w:name w:val="HTML Code"/>
    <w:basedOn w:val="16"/>
    <w:qFormat/>
    <w:uiPriority w:val="0"/>
    <w:rPr>
      <w:rFonts w:hint="default" w:ascii="monospace" w:hAnsi="monospace" w:eastAsia="monospace" w:cs="monospace"/>
      <w:sz w:val="20"/>
    </w:rPr>
  </w:style>
  <w:style w:type="character" w:styleId="27">
    <w:name w:val="HTML Cite"/>
    <w:basedOn w:val="16"/>
    <w:qFormat/>
    <w:uiPriority w:val="0"/>
  </w:style>
  <w:style w:type="character" w:styleId="28">
    <w:name w:val="HTML Keyboard"/>
    <w:basedOn w:val="16"/>
    <w:qFormat/>
    <w:uiPriority w:val="0"/>
    <w:rPr>
      <w:rFonts w:ascii="monospace" w:hAnsi="monospace" w:eastAsia="monospace" w:cs="monospace"/>
      <w:sz w:val="20"/>
    </w:rPr>
  </w:style>
  <w:style w:type="character" w:styleId="29">
    <w:name w:val="HTML Sample"/>
    <w:basedOn w:val="16"/>
    <w:qFormat/>
    <w:uiPriority w:val="0"/>
    <w:rPr>
      <w:rFonts w:hint="default" w:ascii="monospace" w:hAnsi="monospace" w:eastAsia="monospace" w:cs="monospace"/>
    </w:rPr>
  </w:style>
  <w:style w:type="paragraph" w:customStyle="1" w:styleId="30">
    <w:name w:val="Default"/>
    <w:next w:val="1"/>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31">
    <w:name w:val="标题03"/>
    <w:basedOn w:val="4"/>
    <w:next w:val="1"/>
    <w:qFormat/>
    <w:uiPriority w:val="0"/>
    <w:pPr>
      <w:keepNext w:val="0"/>
      <w:keepLines w:val="0"/>
      <w:spacing w:line="400" w:lineRule="atLeast"/>
      <w:ind w:left="5246" w:hanging="567"/>
    </w:pPr>
    <w:rPr>
      <w:rFonts w:ascii="宋体" w:hAnsi="宋体"/>
    </w:rPr>
  </w:style>
  <w:style w:type="paragraph" w:customStyle="1" w:styleId="32">
    <w:name w:val="样式 标题02 + (符号) 宋体"/>
    <w:basedOn w:val="1"/>
    <w:qFormat/>
    <w:uiPriority w:val="0"/>
    <w:pPr>
      <w:numPr>
        <w:ilvl w:val="1"/>
        <w:numId w:val="1"/>
      </w:numPr>
      <w:adjustRightInd w:val="0"/>
      <w:snapToGrid w:val="0"/>
      <w:spacing w:line="400" w:lineRule="atLeast"/>
      <w:jc w:val="left"/>
      <w:outlineLvl w:val="1"/>
    </w:pPr>
    <w:rPr>
      <w:rFonts w:ascii="宋体" w:hAnsi="Cambria"/>
      <w:bCs/>
      <w:sz w:val="24"/>
      <w:szCs w:val="32"/>
    </w:rPr>
  </w:style>
  <w:style w:type="character" w:customStyle="1" w:styleId="33">
    <w:name w:val="标题 3 Char"/>
    <w:link w:val="4"/>
    <w:qFormat/>
    <w:uiPriority w:val="0"/>
    <w:rPr>
      <w:rFonts w:eastAsia="黑体"/>
      <w:bCs/>
      <w:kern w:val="0"/>
      <w:sz w:val="24"/>
      <w:szCs w:val="32"/>
    </w:rPr>
  </w:style>
  <w:style w:type="character" w:customStyle="1" w:styleId="34">
    <w:name w:val="标题 2 Char"/>
    <w:link w:val="3"/>
    <w:qFormat/>
    <w:uiPriority w:val="0"/>
    <w:rPr>
      <w:rFonts w:ascii="Arial" w:hAnsi="Arial" w:eastAsia="黑体"/>
      <w:bCs/>
      <w:sz w:val="32"/>
      <w:szCs w:val="32"/>
    </w:rPr>
  </w:style>
  <w:style w:type="character" w:customStyle="1" w:styleId="35">
    <w:name w:val="批注框文本 Char"/>
    <w:basedOn w:val="16"/>
    <w:link w:val="10"/>
    <w:qFormat/>
    <w:uiPriority w:val="0"/>
    <w:rPr>
      <w:kern w:val="2"/>
      <w:sz w:val="18"/>
      <w:szCs w:val="18"/>
    </w:rPr>
  </w:style>
  <w:style w:type="paragraph" w:styleId="36">
    <w:name w:val="List Paragraph"/>
    <w:basedOn w:val="1"/>
    <w:unhideWhenUsed/>
    <w:qFormat/>
    <w:uiPriority w:val="99"/>
    <w:pPr>
      <w:ind w:firstLine="420" w:firstLineChars="200"/>
    </w:pPr>
  </w:style>
  <w:style w:type="table" w:customStyle="1" w:styleId="37">
    <w:name w:val="Table Normal"/>
    <w:semiHidden/>
    <w:unhideWhenUsed/>
    <w:qFormat/>
    <w:uiPriority w:val="0"/>
    <w:tblPr>
      <w:tblCellMar>
        <w:top w:w="0" w:type="dxa"/>
        <w:left w:w="0" w:type="dxa"/>
        <w:bottom w:w="0" w:type="dxa"/>
        <w:right w:w="0" w:type="dxa"/>
      </w:tblCellMar>
    </w:tblPr>
  </w:style>
  <w:style w:type="paragraph" w:customStyle="1" w:styleId="38">
    <w:name w:val="Normal"/>
    <w:next w:val="39"/>
    <w:qFormat/>
    <w:uiPriority w:val="0"/>
    <w:pPr>
      <w:widowControl w:val="0"/>
      <w:jc w:val="both"/>
    </w:pPr>
    <w:rPr>
      <w:rFonts w:ascii="Calibri" w:hAnsi="Calibri" w:eastAsia="宋体" w:cs="Times New Roman"/>
      <w:kern w:val="2"/>
      <w:sz w:val="21"/>
      <w:szCs w:val="24"/>
      <w:lang w:val="en-US" w:eastAsia="zh-CN" w:bidi="ar-SA"/>
    </w:rPr>
  </w:style>
  <w:style w:type="paragraph" w:customStyle="1" w:styleId="39">
    <w:name w:val="Heading 4"/>
    <w:basedOn w:val="38"/>
    <w:next w:val="38"/>
    <w:qFormat/>
    <w:uiPriority w:val="9"/>
    <w:pPr>
      <w:keepNext/>
      <w:keepLines/>
      <w:numPr>
        <w:ilvl w:val="3"/>
        <w:numId w:val="2"/>
      </w:numPr>
      <w:spacing w:before="120" w:after="120"/>
      <w:outlineLvl w:val="3"/>
    </w:pPr>
    <w:rPr>
      <w:rFonts w:ascii="Cambria" w:hAnsi="Cambria"/>
      <w:b/>
      <w:bCs/>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40</Pages>
  <Words>2996</Words>
  <Characters>3331</Characters>
  <Lines>185</Lines>
  <Paragraphs>52</Paragraphs>
  <TotalTime>2</TotalTime>
  <ScaleCrop>false</ScaleCrop>
  <LinksUpToDate>false</LinksUpToDate>
  <CharactersWithSpaces>3375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2021-08-07T03:48:00Z</dcterms:created>
  <dc:creator>莲</dc:creator>
  <cp:lastModifiedBy>四叶草</cp:lastModifiedBy>
  <cp:lastPrinted>2021-09-27T00:25:00Z</cp:lastPrinted>
  <dcterms:modified xsi:type="dcterms:W3CDTF">2026-08-25T05:57:22Z</dcterms:modified>
  <cp:revision>511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917349DCFADF417097FF88C5815A397C_13</vt:lpwstr>
  </property>
  <property fmtid="{D5CDD505-2E9C-101B-9397-08002B2CF9AE}" pid="4" name="KSOTemplateDocerSaveRecord">
    <vt:lpwstr>eyJoZGlkIjoiNmRkYzE0YTJhZjUyNTljYmIyN2I1MzY0ZTg2ZWM5YTEiLCJ1c2VySWQiOiIxNzEwMzE2NTQ2In0=</vt:lpwstr>
  </property>
</Properties>
</file>